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AD" w:rsidRPr="00565959" w:rsidRDefault="00865CE0" w:rsidP="00865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L’interven</w:t>
      </w:r>
      <w:r w:rsidR="00581DA0" w:rsidRPr="00565959">
        <w:rPr>
          <w:rFonts w:ascii="Arial" w:hAnsi="Arial" w:cs="Arial"/>
          <w:sz w:val="22"/>
          <w:szCs w:val="22"/>
        </w:rPr>
        <w:t>to</w:t>
      </w:r>
      <w:r w:rsidRPr="00565959">
        <w:rPr>
          <w:rFonts w:ascii="Arial" w:hAnsi="Arial" w:cs="Arial"/>
          <w:sz w:val="22"/>
          <w:szCs w:val="22"/>
        </w:rPr>
        <w:t xml:space="preserve"> 14.1.3 della misura sul benessere animale prevede che l’allevatore migliori alcuni aspetti dell’allevamento attraverso l’applicazione di una serie di impegni, alcuni obbligatori ("Management" e "Aspetti sanitari") e alcuni facoltativi ("Strutture" ed "Alimentazione)</w:t>
      </w:r>
      <w:r w:rsidR="00193887" w:rsidRPr="00565959">
        <w:rPr>
          <w:rFonts w:ascii="Arial" w:hAnsi="Arial" w:cs="Arial"/>
          <w:sz w:val="22"/>
          <w:szCs w:val="22"/>
        </w:rPr>
        <w:t xml:space="preserve"> sulla base dei quali vengono attribuiti dei punteggi come descritto nella tabella che segue:</w:t>
      </w:r>
    </w:p>
    <w:p w:rsidR="00865CE0" w:rsidRPr="00565959" w:rsidRDefault="00865CE0" w:rsidP="00865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4"/>
        <w:gridCol w:w="4505"/>
        <w:gridCol w:w="992"/>
        <w:gridCol w:w="1015"/>
        <w:gridCol w:w="1134"/>
        <w:gridCol w:w="873"/>
      </w:tblGrid>
      <w:tr w:rsidR="00865CE0" w:rsidRPr="00565959" w:rsidTr="00130972">
        <w:trPr>
          <w:trHeight w:val="255"/>
          <w:jc w:val="center"/>
        </w:trPr>
        <w:tc>
          <w:tcPr>
            <w:tcW w:w="714" w:type="dxa"/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13097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sz w:val="18"/>
                <w:szCs w:val="18"/>
              </w:rPr>
            </w:pPr>
            <w:r w:rsidRPr="00565959">
              <w:rPr>
                <w:b/>
                <w:sz w:val="18"/>
                <w:szCs w:val="18"/>
              </w:rPr>
              <w:t>Obiettivi per macroarea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sz w:val="18"/>
                <w:szCs w:val="18"/>
              </w:rPr>
            </w:pPr>
            <w:r w:rsidRPr="00565959">
              <w:rPr>
                <w:b/>
                <w:sz w:val="18"/>
                <w:szCs w:val="18"/>
              </w:rPr>
              <w:t>Bovini da carne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sz w:val="18"/>
                <w:szCs w:val="18"/>
              </w:rPr>
            </w:pPr>
            <w:r w:rsidRPr="00565959">
              <w:rPr>
                <w:b/>
                <w:sz w:val="18"/>
                <w:szCs w:val="18"/>
              </w:rPr>
              <w:t>Bovini da latte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5959">
              <w:rPr>
                <w:b/>
                <w:sz w:val="18"/>
                <w:szCs w:val="18"/>
              </w:rPr>
              <w:t>Ovicaprini</w:t>
            </w:r>
            <w:proofErr w:type="spellEnd"/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sz w:val="18"/>
                <w:szCs w:val="18"/>
              </w:rPr>
            </w:pPr>
            <w:r w:rsidRPr="00565959">
              <w:rPr>
                <w:b/>
                <w:sz w:val="18"/>
                <w:szCs w:val="18"/>
              </w:rPr>
              <w:t>Equini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 w:val="restart"/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865CE0">
            <w:pPr>
              <w:ind w:left="473" w:right="113"/>
              <w:jc w:val="center"/>
              <w:rPr>
                <w:b/>
              </w:rPr>
            </w:pPr>
            <w:r w:rsidRPr="00565959">
              <w:rPr>
                <w:b/>
              </w:rPr>
              <w:t>Management</w:t>
            </w: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Obbligo, per il personale impiegato nella gestione degli animali, di partecipazione ad almeno un corso inerente la gestione aziendale e sanitaria della durata minima di 20 ore nel primo anno di applicazione della misura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20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trike/>
              </w:rPr>
            </w:pPr>
            <w:r w:rsidRPr="00565959">
              <w:rPr>
                <w:sz w:val="22"/>
                <w:szCs w:val="22"/>
              </w:rPr>
              <w:t>25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btLr"/>
            <w:vAlign w:val="bottom"/>
          </w:tcPr>
          <w:p w:rsidR="00865CE0" w:rsidRPr="00565959" w:rsidRDefault="00865CE0" w:rsidP="00865CE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Impegno di stabilire un rapporto formale e continuativo per l’assistenza zootecnica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btLr"/>
            <w:vAlign w:val="bottom"/>
          </w:tcPr>
          <w:p w:rsidR="00865CE0" w:rsidRPr="00565959" w:rsidRDefault="00865CE0" w:rsidP="00865CE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Garantire controlli periodici della taratura delle attrezzature ed impianti presenti in allevamento (carro miscelatore, mungitrice, ecc.), la cui efficienza assicura livelli ottimali di benessere animale evitando l’insorgenza di criticità alimentari e sanitarie (patologie da dieta sbilanciata, mastiti, </w:t>
            </w:r>
            <w:proofErr w:type="spellStart"/>
            <w:r w:rsidRPr="00565959">
              <w:rPr>
                <w:sz w:val="18"/>
                <w:szCs w:val="18"/>
              </w:rPr>
              <w:t>etc</w:t>
            </w:r>
            <w:proofErr w:type="spellEnd"/>
            <w:r w:rsidRPr="00565959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trike/>
              </w:rPr>
            </w:pPr>
            <w:r w:rsidRPr="00565959">
              <w:rPr>
                <w:strike/>
                <w:sz w:val="22"/>
                <w:szCs w:val="22"/>
              </w:rPr>
              <w:t>----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 w:val="restart"/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865CE0">
            <w:pPr>
              <w:ind w:left="473" w:right="113"/>
              <w:jc w:val="center"/>
              <w:rPr>
                <w:b/>
              </w:rPr>
            </w:pPr>
            <w:r w:rsidRPr="00565959">
              <w:rPr>
                <w:b/>
              </w:rPr>
              <w:t>Aspetti sanitari</w:t>
            </w: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Rapporto tra soggetti svezzati e nati non inferiore all'80%, che rappresenta un importante segnale del benessere complessivo dell'allevamento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20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vAlign w:val="bottom"/>
          </w:tcPr>
          <w:p w:rsidR="00865CE0" w:rsidRPr="00565959" w:rsidRDefault="00865CE0" w:rsidP="00865CE0">
            <w:pPr>
              <w:jc w:val="center"/>
            </w:pP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4A03BA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>Esecuzione di almeno un controllo parassitologico annuale su un campione significativo di animali (1% dei soggetti allevati - minimo 3 capi)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20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vAlign w:val="bottom"/>
          </w:tcPr>
          <w:p w:rsidR="00865CE0" w:rsidRPr="00565959" w:rsidRDefault="00865CE0" w:rsidP="00865CE0">
            <w:pPr>
              <w:jc w:val="center"/>
            </w:pP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Lotta regolare ai roditori ed agli infestanti, veicolo di trasmissione di malattie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65CE0" w:rsidRPr="00565959" w:rsidRDefault="00865CE0" w:rsidP="00865CE0">
            <w:pPr>
              <w:jc w:val="center"/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Introduzione di aree destinate alla quarantena degli animali e/o ad infermeria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</w:tr>
      <w:tr w:rsidR="00865CE0" w:rsidRPr="00565959" w:rsidTr="00193887">
        <w:trPr>
          <w:trHeight w:val="255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65CE0" w:rsidRPr="00565959" w:rsidRDefault="00865CE0" w:rsidP="00865CE0">
            <w:pPr>
              <w:jc w:val="center"/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ind w:left="290" w:hanging="290"/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865CE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  <w:p w:rsidR="00865CE0" w:rsidRPr="00565959" w:rsidRDefault="00865CE0" w:rsidP="00130972">
            <w:pPr>
              <w:jc w:val="center"/>
            </w:pP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865CE0">
            <w:pPr>
              <w:ind w:left="473" w:right="113"/>
              <w:jc w:val="center"/>
              <w:rPr>
                <w:b/>
              </w:rPr>
            </w:pPr>
            <w:r w:rsidRPr="00565959">
              <w:rPr>
                <w:b/>
              </w:rPr>
              <w:t>Strutture</w:t>
            </w: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Passaggio  per la prima volta alla tipologia di allevamento semi-estensivo (pascolo nel periodo </w:t>
            </w:r>
            <w:proofErr w:type="spellStart"/>
            <w:r w:rsidRPr="00565959">
              <w:rPr>
                <w:sz w:val="18"/>
                <w:szCs w:val="18"/>
              </w:rPr>
              <w:t>primaverile-estivo</w:t>
            </w:r>
            <w:proofErr w:type="spellEnd"/>
            <w:r w:rsidRPr="00565959">
              <w:rPr>
                <w:sz w:val="18"/>
                <w:szCs w:val="18"/>
              </w:rPr>
              <w:t xml:space="preserve"> e stalla nel periodo </w:t>
            </w:r>
            <w:proofErr w:type="spellStart"/>
            <w:r w:rsidRPr="00565959">
              <w:rPr>
                <w:sz w:val="18"/>
                <w:szCs w:val="18"/>
              </w:rPr>
              <w:t>autunnale-invernale</w:t>
            </w:r>
            <w:proofErr w:type="spellEnd"/>
            <w:r w:rsidRPr="00565959">
              <w:rPr>
                <w:sz w:val="18"/>
                <w:szCs w:val="18"/>
              </w:rPr>
              <w:t xml:space="preserve">) o estensivo con disponibilità di superficie a pascolo pari almeno a 5.000 mq/capo per i bovini ed equini, e 750 mq/capo per gli </w:t>
            </w:r>
            <w:proofErr w:type="spellStart"/>
            <w:r w:rsidRPr="00565959">
              <w:rPr>
                <w:sz w:val="18"/>
                <w:szCs w:val="18"/>
              </w:rPr>
              <w:t>ovicaprini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5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>Passaggio per la prima volta alla tipologia di allevamento a stabulazione libera.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trike/>
              </w:rPr>
            </w:pPr>
            <w:r w:rsidRPr="0056595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----------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Dotazione di impianti artificiali (generatore) per il miglioramento della ventilazione e potenziamento dell’impianto di illuminazione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>Migliore gestione della lettiera legata alle condizioni igienico-sanitarie e di confort (</w:t>
            </w:r>
            <w:proofErr w:type="spellStart"/>
            <w:r w:rsidRPr="00565959">
              <w:rPr>
                <w:sz w:val="18"/>
                <w:szCs w:val="18"/>
              </w:rPr>
              <w:t>impagliamento</w:t>
            </w:r>
            <w:proofErr w:type="spellEnd"/>
            <w:r w:rsidRPr="00565959">
              <w:rPr>
                <w:sz w:val="18"/>
                <w:szCs w:val="18"/>
              </w:rPr>
              <w:t xml:space="preserve"> due volte alla settimana e rimozione totale della lettiera due volte l’anno)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trike/>
              </w:rPr>
            </w:pPr>
            <w:r w:rsidRPr="0056595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2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Lotta regolare ai roditori ed agli infestanti veicolo di trasmissione di malattie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Introduzione di aree destinate alla quarantena degli animali e/o ad infermeria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</w:pPr>
            <w:r w:rsidRPr="00565959">
              <w:rPr>
                <w:sz w:val="22"/>
                <w:szCs w:val="22"/>
              </w:rPr>
              <w:t>1</w:t>
            </w:r>
          </w:p>
        </w:tc>
      </w:tr>
      <w:tr w:rsidR="00865CE0" w:rsidRPr="00565959" w:rsidTr="00193887">
        <w:trPr>
          <w:cantSplit/>
          <w:trHeight w:val="250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865CE0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15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3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65CE0" w:rsidRPr="00565959" w:rsidTr="00130972">
        <w:trPr>
          <w:trHeight w:val="255"/>
          <w:jc w:val="center"/>
        </w:trPr>
        <w:tc>
          <w:tcPr>
            <w:tcW w:w="714" w:type="dxa"/>
            <w:vMerge w:val="restart"/>
            <w:shd w:val="clear" w:color="auto" w:fill="auto"/>
            <w:noWrap/>
            <w:textDirection w:val="btLr"/>
            <w:vAlign w:val="center"/>
          </w:tcPr>
          <w:p w:rsidR="00865CE0" w:rsidRPr="00565959" w:rsidRDefault="00865CE0" w:rsidP="00865CE0">
            <w:pPr>
              <w:ind w:left="113" w:right="113"/>
              <w:jc w:val="center"/>
              <w:rPr>
                <w:b/>
              </w:rPr>
            </w:pPr>
            <w:r w:rsidRPr="00565959">
              <w:rPr>
                <w:b/>
              </w:rPr>
              <w:t>Alimentazione</w:t>
            </w: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 xml:space="preserve">Supporto di un alimentarista per la definizione di una dieta bilanciata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10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10</w:t>
            </w:r>
          </w:p>
        </w:tc>
      </w:tr>
      <w:tr w:rsidR="00865CE0" w:rsidRPr="00565959" w:rsidTr="00130972">
        <w:trPr>
          <w:cantSplit/>
          <w:trHeight w:val="896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130972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auto"/>
            <w:noWrap/>
            <w:vAlign w:val="center"/>
          </w:tcPr>
          <w:p w:rsidR="00865CE0" w:rsidRPr="00565959" w:rsidRDefault="00865CE0" w:rsidP="00193887">
            <w:pPr>
              <w:pStyle w:val="Paragrafoelenco"/>
              <w:numPr>
                <w:ilvl w:val="0"/>
                <w:numId w:val="8"/>
              </w:numPr>
              <w:ind w:left="290" w:hanging="283"/>
              <w:jc w:val="both"/>
              <w:rPr>
                <w:sz w:val="18"/>
                <w:szCs w:val="18"/>
              </w:rPr>
            </w:pPr>
            <w:r w:rsidRPr="00565959">
              <w:rPr>
                <w:sz w:val="18"/>
                <w:szCs w:val="18"/>
              </w:rPr>
              <w:t>Adozione di misure di prevenzione e controllo della contaminazione da micotossine per gli animali (due controlli annuali delle materie prime utilizzate per l’alimentazione animale)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----------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dstrike/>
              </w:rPr>
            </w:pPr>
            <w:r w:rsidRPr="00565959">
              <w:rPr>
                <w:sz w:val="22"/>
                <w:szCs w:val="22"/>
              </w:rPr>
              <w:t>----------</w:t>
            </w:r>
          </w:p>
        </w:tc>
      </w:tr>
      <w:tr w:rsidR="00865CE0" w:rsidRPr="00565959" w:rsidTr="00193887">
        <w:trPr>
          <w:cantSplit/>
          <w:trHeight w:val="809"/>
          <w:jc w:val="center"/>
        </w:trPr>
        <w:tc>
          <w:tcPr>
            <w:tcW w:w="714" w:type="dxa"/>
            <w:vMerge/>
            <w:shd w:val="clear" w:color="auto" w:fill="auto"/>
            <w:noWrap/>
            <w:textDirection w:val="lrTbV"/>
            <w:vAlign w:val="center"/>
          </w:tcPr>
          <w:p w:rsidR="00865CE0" w:rsidRPr="00565959" w:rsidRDefault="00865CE0" w:rsidP="00130972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15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3" w:type="dxa"/>
            <w:shd w:val="clear" w:color="auto" w:fill="D9D9D9" w:themeFill="background1" w:themeFillShade="D9"/>
            <w:noWrap/>
            <w:vAlign w:val="center"/>
          </w:tcPr>
          <w:p w:rsidR="00865CE0" w:rsidRPr="00565959" w:rsidRDefault="00865CE0" w:rsidP="00130972">
            <w:pPr>
              <w:jc w:val="center"/>
              <w:rPr>
                <w:b/>
                <w:bCs/>
              </w:rPr>
            </w:pPr>
            <w:r w:rsidRPr="00565959"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193887" w:rsidRPr="00565959" w:rsidRDefault="00193887" w:rsidP="001938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93887" w:rsidRPr="00565959" w:rsidRDefault="00193887" w:rsidP="001938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Nel corso della compilazione delle domande di aiuto sono state segnalate alcune criticità e</w:t>
      </w:r>
      <w:r w:rsidR="00430DE7" w:rsidRPr="00565959">
        <w:rPr>
          <w:rFonts w:ascii="Arial" w:hAnsi="Arial" w:cs="Arial"/>
          <w:sz w:val="22"/>
          <w:szCs w:val="22"/>
        </w:rPr>
        <w:t xml:space="preserve"> sono</w:t>
      </w:r>
      <w:r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lastRenderedPageBreak/>
        <w:t>stati richiesti chiarimenti rispetto ad alcuni impegni. Si ritiene necessario approfondire alcuni</w:t>
      </w:r>
      <w:r w:rsidR="00430DE7" w:rsidRPr="00565959">
        <w:rPr>
          <w:rFonts w:ascii="Arial" w:hAnsi="Arial" w:cs="Arial"/>
          <w:sz w:val="22"/>
          <w:szCs w:val="22"/>
        </w:rPr>
        <w:t xml:space="preserve"> di essi che vengono meglio analizzati di seguito</w:t>
      </w:r>
    </w:p>
    <w:p w:rsidR="00865CE0" w:rsidRPr="00565959" w:rsidRDefault="00865CE0" w:rsidP="00865C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430DE7" w:rsidP="00430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1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 xml:space="preserve">Obbligo, per il personale impiegato nella gestione degli animali, di partecipazione ad almeno un corso inerente la gestione aziendale e sanitaria della durata minima di 20 ore nel primo anno di applicazione della misura: </w:t>
      </w:r>
    </w:p>
    <w:p w:rsidR="00451851" w:rsidRPr="00565959" w:rsidRDefault="00451851" w:rsidP="00B77FE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Il titolare dell’azienda zootecnica (per le persone giuridiche il rappresentante legale) o suo delegato addetto alla gestione degli animali, deve frequentare un corso riconosciuto di almeno 20 ore su tematiche inerenti il benessere animale</w:t>
      </w:r>
    </w:p>
    <w:p w:rsidR="00C62493" w:rsidRPr="00565959" w:rsidRDefault="00C62493" w:rsidP="00B77FEC">
      <w:pPr>
        <w:pStyle w:val="Paragrafoelenco"/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Ai fini del rispetto dell’impegno, viene considerata valida la partecipazione a: </w:t>
      </w:r>
    </w:p>
    <w:p w:rsidR="004D3448" w:rsidRPr="00565959" w:rsidRDefault="0002394C" w:rsidP="00B77FEC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interventi di formazione</w:t>
      </w:r>
      <w:r w:rsidR="00390F74" w:rsidRPr="00565959">
        <w:rPr>
          <w:rFonts w:ascii="Arial" w:hAnsi="Arial" w:cs="Arial"/>
          <w:sz w:val="22"/>
          <w:szCs w:val="22"/>
        </w:rPr>
        <w:t xml:space="preserve"> attivati</w:t>
      </w:r>
      <w:r w:rsidRPr="00565959">
        <w:rPr>
          <w:rFonts w:ascii="Arial" w:hAnsi="Arial" w:cs="Arial"/>
          <w:sz w:val="22"/>
          <w:szCs w:val="22"/>
        </w:rPr>
        <w:t xml:space="preserve"> con la misura 1 “Trasferimento di conoscenze e azioni di informazione”</w:t>
      </w:r>
      <w:r w:rsidR="004D3448" w:rsidRPr="00565959">
        <w:rPr>
          <w:rFonts w:ascii="Arial" w:hAnsi="Arial" w:cs="Arial"/>
          <w:sz w:val="22"/>
          <w:szCs w:val="22"/>
        </w:rPr>
        <w:t xml:space="preserve"> del PSR 2014/2020;</w:t>
      </w:r>
      <w:r w:rsidR="00390F74" w:rsidRPr="00565959">
        <w:rPr>
          <w:rFonts w:ascii="Arial" w:hAnsi="Arial" w:cs="Arial"/>
          <w:sz w:val="22"/>
          <w:szCs w:val="22"/>
        </w:rPr>
        <w:t xml:space="preserve"> </w:t>
      </w:r>
    </w:p>
    <w:p w:rsidR="00451851" w:rsidRPr="00565959" w:rsidRDefault="004D3448" w:rsidP="00B77FEC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interventi di formazione realizzati da soggetti accreditati presso la Regione Umbria.</w:t>
      </w:r>
    </w:p>
    <w:p w:rsidR="00451851" w:rsidRPr="00565959" w:rsidRDefault="00430DE7" w:rsidP="00430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L’attestato di frequentazione del corso dovrà essere conservato nel fascicolo di domanda.</w:t>
      </w: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430DE7" w:rsidP="00430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2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>Impegno di stabilire un rapporto formale e continuativo per l’assistenza zootecnica</w:t>
      </w:r>
    </w:p>
    <w:p w:rsidR="00451851" w:rsidRPr="00565959" w:rsidRDefault="00C62493" w:rsidP="00B77FE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Esperti zootecnici</w:t>
      </w:r>
      <w:r w:rsidR="00451851" w:rsidRPr="00565959">
        <w:rPr>
          <w:rFonts w:ascii="Arial" w:hAnsi="Arial" w:cs="Arial"/>
          <w:sz w:val="22"/>
          <w:szCs w:val="22"/>
        </w:rPr>
        <w:t xml:space="preserve"> (veterinari</w:t>
      </w:r>
      <w:r w:rsidRPr="00565959">
        <w:rPr>
          <w:rFonts w:ascii="Arial" w:hAnsi="Arial" w:cs="Arial"/>
          <w:sz w:val="22"/>
          <w:szCs w:val="22"/>
        </w:rPr>
        <w:t>, laureati</w:t>
      </w:r>
      <w:r w:rsidR="00451851" w:rsidRPr="00565959">
        <w:rPr>
          <w:rFonts w:ascii="Arial" w:hAnsi="Arial" w:cs="Arial"/>
          <w:sz w:val="22"/>
          <w:szCs w:val="22"/>
        </w:rPr>
        <w:t xml:space="preserve"> in scienze agrarie, laureat</w:t>
      </w:r>
      <w:r w:rsidRPr="00565959">
        <w:rPr>
          <w:rFonts w:ascii="Arial" w:hAnsi="Arial" w:cs="Arial"/>
          <w:sz w:val="22"/>
          <w:szCs w:val="22"/>
        </w:rPr>
        <w:t>i</w:t>
      </w:r>
      <w:r w:rsidR="00451851" w:rsidRPr="00565959">
        <w:rPr>
          <w:rFonts w:ascii="Arial" w:hAnsi="Arial" w:cs="Arial"/>
          <w:sz w:val="22"/>
          <w:szCs w:val="22"/>
        </w:rPr>
        <w:t xml:space="preserve"> in scienze della produzione animale, perit</w:t>
      </w:r>
      <w:r w:rsidRPr="00565959">
        <w:rPr>
          <w:rFonts w:ascii="Arial" w:hAnsi="Arial" w:cs="Arial"/>
          <w:sz w:val="22"/>
          <w:szCs w:val="22"/>
        </w:rPr>
        <w:t>i</w:t>
      </w:r>
      <w:r w:rsidR="00451851" w:rsidRPr="00565959">
        <w:rPr>
          <w:rFonts w:ascii="Arial" w:hAnsi="Arial" w:cs="Arial"/>
          <w:sz w:val="22"/>
          <w:szCs w:val="22"/>
        </w:rPr>
        <w:t xml:space="preserve"> agrari, agrotecnic</w:t>
      </w:r>
      <w:r w:rsidRPr="00565959">
        <w:rPr>
          <w:rFonts w:ascii="Arial" w:hAnsi="Arial" w:cs="Arial"/>
          <w:sz w:val="22"/>
          <w:szCs w:val="22"/>
        </w:rPr>
        <w:t>i</w:t>
      </w:r>
      <w:r w:rsidR="00451851" w:rsidRPr="00565959">
        <w:rPr>
          <w:rFonts w:ascii="Arial" w:hAnsi="Arial" w:cs="Arial"/>
          <w:sz w:val="22"/>
          <w:szCs w:val="22"/>
        </w:rPr>
        <w:t>) dovr</w:t>
      </w:r>
      <w:r w:rsidRPr="00565959">
        <w:rPr>
          <w:rFonts w:ascii="Arial" w:hAnsi="Arial" w:cs="Arial"/>
          <w:sz w:val="22"/>
          <w:szCs w:val="22"/>
        </w:rPr>
        <w:t>anno</w:t>
      </w:r>
      <w:r w:rsidR="00451851" w:rsidRPr="00565959">
        <w:rPr>
          <w:rFonts w:ascii="Arial" w:hAnsi="Arial" w:cs="Arial"/>
          <w:sz w:val="22"/>
          <w:szCs w:val="22"/>
        </w:rPr>
        <w:t xml:space="preserve"> effettuare almeno 3 visite l’anno per la verifica della gestione dell’allevamento e per indicare eventuali correttive ai fini del miglioramento del benessere animale.</w:t>
      </w:r>
      <w:r w:rsidR="00D507B4" w:rsidRPr="00565959">
        <w:rPr>
          <w:rFonts w:ascii="Arial" w:hAnsi="Arial" w:cs="Arial"/>
          <w:sz w:val="22"/>
          <w:szCs w:val="22"/>
        </w:rPr>
        <w:t xml:space="preserve"> Tra le visite dovrà intercorrere un periodo di almeno 3 mesi.</w:t>
      </w:r>
      <w:r w:rsidR="00451851" w:rsidRPr="00565959">
        <w:rPr>
          <w:rFonts w:ascii="Arial" w:hAnsi="Arial" w:cs="Arial"/>
          <w:sz w:val="22"/>
          <w:szCs w:val="22"/>
        </w:rPr>
        <w:t xml:space="preserve"> I</w:t>
      </w:r>
      <w:r w:rsidR="00D507B4" w:rsidRPr="00565959">
        <w:rPr>
          <w:rFonts w:ascii="Arial" w:hAnsi="Arial" w:cs="Arial"/>
          <w:sz w:val="22"/>
          <w:szCs w:val="22"/>
        </w:rPr>
        <w:t xml:space="preserve"> controlli dovranno</w:t>
      </w:r>
      <w:r w:rsidR="00451851" w:rsidRPr="00565959">
        <w:rPr>
          <w:rFonts w:ascii="Arial" w:hAnsi="Arial" w:cs="Arial"/>
          <w:sz w:val="22"/>
          <w:szCs w:val="22"/>
        </w:rPr>
        <w:t xml:space="preserve"> tenere conto anche dei risultati delle analisi delle micotossine e parassitologiche. L’allevatore potrà scegliere tra le figure tecniche sopra indicate, prevedendo almeno un controllo veterinario. </w:t>
      </w:r>
    </w:p>
    <w:p w:rsidR="007949FB" w:rsidRPr="00565959" w:rsidRDefault="00AB0B2C" w:rsidP="00B77FE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Al termine delle 3 visite previste, gli esperti devono produrre (congiuntamente o separatamente) una relazione dettagliata sulle condizioni generali di benessere animale dell’allevamento, evidenziando criticità ed eventuali azioni correttive da attuare.</w:t>
      </w:r>
      <w:r w:rsidR="00D507B4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 xml:space="preserve"> </w:t>
      </w:r>
    </w:p>
    <w:p w:rsidR="00C62493" w:rsidRPr="00565959" w:rsidRDefault="00C62493" w:rsidP="00B77FE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La dimost</w:t>
      </w:r>
      <w:r w:rsidR="005C72AD" w:rsidRPr="00565959">
        <w:rPr>
          <w:rFonts w:ascii="Arial" w:hAnsi="Arial" w:cs="Arial"/>
          <w:sz w:val="22"/>
          <w:szCs w:val="22"/>
        </w:rPr>
        <w:t xml:space="preserve">razione delle visite effettuate e le relazioni prodotte per ogni anno di impegno </w:t>
      </w:r>
      <w:r w:rsidRPr="00565959">
        <w:rPr>
          <w:rFonts w:ascii="Arial" w:hAnsi="Arial" w:cs="Arial"/>
          <w:sz w:val="22"/>
          <w:szCs w:val="22"/>
        </w:rPr>
        <w:t>dovr</w:t>
      </w:r>
      <w:r w:rsidR="005C72AD" w:rsidRPr="00565959">
        <w:rPr>
          <w:rFonts w:ascii="Arial" w:hAnsi="Arial" w:cs="Arial"/>
          <w:sz w:val="22"/>
          <w:szCs w:val="22"/>
        </w:rPr>
        <w:t>anno</w:t>
      </w:r>
      <w:r w:rsidRPr="00565959">
        <w:rPr>
          <w:rFonts w:ascii="Arial" w:hAnsi="Arial" w:cs="Arial"/>
          <w:sz w:val="22"/>
          <w:szCs w:val="22"/>
        </w:rPr>
        <w:t xml:space="preserve"> essere conservat</w:t>
      </w:r>
      <w:r w:rsidR="00B77FEC" w:rsidRPr="00565959">
        <w:rPr>
          <w:rFonts w:ascii="Arial" w:hAnsi="Arial" w:cs="Arial"/>
          <w:sz w:val="22"/>
          <w:szCs w:val="22"/>
        </w:rPr>
        <w:t>i</w:t>
      </w:r>
      <w:r w:rsidRPr="00565959">
        <w:rPr>
          <w:rFonts w:ascii="Arial" w:hAnsi="Arial" w:cs="Arial"/>
          <w:sz w:val="22"/>
          <w:szCs w:val="22"/>
        </w:rPr>
        <w:t xml:space="preserve"> nel Fascicolo di domanda.</w:t>
      </w:r>
    </w:p>
    <w:p w:rsidR="00451851" w:rsidRPr="00565959" w:rsidRDefault="00451851" w:rsidP="0045185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451851" w:rsidP="00451851">
      <w:pPr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51851" w:rsidRPr="00565959" w:rsidRDefault="00430DE7" w:rsidP="00430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3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 xml:space="preserve">Garantire controlli periodici della taratura delle attrezzature ed impianti presenti in allevamento (carro miscelatore, mungitrice, </w:t>
      </w:r>
      <w:proofErr w:type="spellStart"/>
      <w:r w:rsidR="00451851" w:rsidRPr="00565959">
        <w:rPr>
          <w:rFonts w:ascii="Arial" w:hAnsi="Arial" w:cs="Arial"/>
          <w:sz w:val="22"/>
          <w:szCs w:val="22"/>
        </w:rPr>
        <w:t>ecc…</w:t>
      </w:r>
      <w:proofErr w:type="spellEnd"/>
      <w:r w:rsidR="00451851" w:rsidRPr="00565959">
        <w:rPr>
          <w:rFonts w:ascii="Arial" w:hAnsi="Arial" w:cs="Arial"/>
          <w:sz w:val="22"/>
          <w:szCs w:val="22"/>
        </w:rPr>
        <w:t xml:space="preserve">), la cui efficienza assicura livelli ottimali di benessere animale evitando l’insorgenza di criticità alimentari e sanitarie (patologie da dieta sbilanciata, mastiti, </w:t>
      </w:r>
      <w:proofErr w:type="spellStart"/>
      <w:r w:rsidR="00451851" w:rsidRPr="00565959">
        <w:rPr>
          <w:rFonts w:ascii="Arial" w:hAnsi="Arial" w:cs="Arial"/>
          <w:sz w:val="22"/>
          <w:szCs w:val="22"/>
        </w:rPr>
        <w:t>etc</w:t>
      </w:r>
      <w:proofErr w:type="spellEnd"/>
      <w:r w:rsidR="00451851" w:rsidRPr="00565959">
        <w:rPr>
          <w:rFonts w:ascii="Arial" w:hAnsi="Arial" w:cs="Arial"/>
          <w:sz w:val="22"/>
          <w:szCs w:val="22"/>
        </w:rPr>
        <w:t xml:space="preserve">): </w:t>
      </w:r>
    </w:p>
    <w:p w:rsidR="00657DAA" w:rsidRPr="00565959" w:rsidRDefault="005C72AD" w:rsidP="006614B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Un soggetto specializzato </w:t>
      </w:r>
      <w:r w:rsidR="00451851" w:rsidRPr="00565959">
        <w:rPr>
          <w:rFonts w:ascii="Arial" w:hAnsi="Arial" w:cs="Arial"/>
          <w:sz w:val="22"/>
          <w:szCs w:val="22"/>
        </w:rPr>
        <w:t xml:space="preserve">deve effettuare </w:t>
      </w:r>
      <w:r w:rsidRPr="00565959">
        <w:rPr>
          <w:rFonts w:ascii="Arial" w:hAnsi="Arial" w:cs="Arial"/>
          <w:sz w:val="22"/>
          <w:szCs w:val="22"/>
        </w:rPr>
        <w:t xml:space="preserve">una volta </w:t>
      </w:r>
      <w:r w:rsidR="00451851" w:rsidRPr="00565959">
        <w:rPr>
          <w:rFonts w:ascii="Arial" w:hAnsi="Arial" w:cs="Arial"/>
          <w:sz w:val="22"/>
          <w:szCs w:val="22"/>
        </w:rPr>
        <w:t>l’anno un controllo ed eventuale taratura dell’attrezzatura.</w:t>
      </w:r>
      <w:r w:rsidR="00B254C5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>Il termine</w:t>
      </w:r>
      <w:r w:rsidR="00B254C5" w:rsidRPr="00565959">
        <w:rPr>
          <w:rFonts w:ascii="Arial" w:hAnsi="Arial" w:cs="Arial"/>
          <w:sz w:val="22"/>
          <w:szCs w:val="22"/>
        </w:rPr>
        <w:t xml:space="preserve"> taratura deve </w:t>
      </w:r>
      <w:r w:rsidR="00490308" w:rsidRPr="00565959">
        <w:rPr>
          <w:rFonts w:ascii="Arial" w:hAnsi="Arial" w:cs="Arial"/>
          <w:sz w:val="22"/>
          <w:szCs w:val="22"/>
        </w:rPr>
        <w:t>essere intes</w:t>
      </w:r>
      <w:r w:rsidRPr="00565959">
        <w:rPr>
          <w:rFonts w:ascii="Arial" w:hAnsi="Arial" w:cs="Arial"/>
          <w:sz w:val="22"/>
          <w:szCs w:val="22"/>
        </w:rPr>
        <w:t>o</w:t>
      </w:r>
      <w:r w:rsidR="00490308" w:rsidRPr="00565959">
        <w:rPr>
          <w:rFonts w:ascii="Arial" w:hAnsi="Arial" w:cs="Arial"/>
          <w:sz w:val="22"/>
          <w:szCs w:val="22"/>
        </w:rPr>
        <w:t xml:space="preserve"> in senso esteso</w:t>
      </w:r>
      <w:r w:rsidRPr="00565959">
        <w:rPr>
          <w:rFonts w:ascii="Arial" w:hAnsi="Arial" w:cs="Arial"/>
          <w:sz w:val="22"/>
          <w:szCs w:val="22"/>
        </w:rPr>
        <w:t>,</w:t>
      </w:r>
      <w:r w:rsidR="00490308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 xml:space="preserve">con il significato </w:t>
      </w:r>
      <w:r w:rsidR="00490308" w:rsidRPr="00565959">
        <w:rPr>
          <w:rFonts w:ascii="Arial" w:hAnsi="Arial" w:cs="Arial"/>
          <w:sz w:val="22"/>
          <w:szCs w:val="22"/>
        </w:rPr>
        <w:t>di regolazion</w:t>
      </w:r>
      <w:r w:rsidR="000721A3" w:rsidRPr="00565959">
        <w:rPr>
          <w:rFonts w:ascii="Arial" w:hAnsi="Arial" w:cs="Arial"/>
          <w:sz w:val="22"/>
          <w:szCs w:val="22"/>
        </w:rPr>
        <w:t>e/</w:t>
      </w:r>
      <w:r w:rsidR="00B254C5" w:rsidRPr="00565959">
        <w:rPr>
          <w:rFonts w:ascii="Arial" w:hAnsi="Arial" w:cs="Arial"/>
          <w:sz w:val="22"/>
          <w:szCs w:val="22"/>
        </w:rPr>
        <w:t>me</w:t>
      </w:r>
      <w:r w:rsidR="00490308" w:rsidRPr="00565959">
        <w:rPr>
          <w:rFonts w:ascii="Arial" w:hAnsi="Arial" w:cs="Arial"/>
          <w:sz w:val="22"/>
          <w:szCs w:val="22"/>
        </w:rPr>
        <w:t>ssa a punto dell’attrezzatura.</w:t>
      </w:r>
    </w:p>
    <w:p w:rsidR="00657DAA" w:rsidRPr="00565959" w:rsidRDefault="005C72AD" w:rsidP="006614B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La documentazione attestante gli interventi effettuati dovrà essere conservata nel Fascicolo di domanda.</w:t>
      </w:r>
    </w:p>
    <w:p w:rsidR="005C72AD" w:rsidRPr="00565959" w:rsidRDefault="005C72AD" w:rsidP="00451851">
      <w:pPr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:rsidR="00565959" w:rsidRPr="00565959" w:rsidRDefault="00565959" w:rsidP="00451851">
      <w:pPr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:rsidR="00451851" w:rsidRPr="00565959" w:rsidRDefault="00430DE7" w:rsidP="00430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4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 xml:space="preserve">Rapporto tra soggetti svezzati e nati non inferiore all'80%, che rappresenta un importante segnale del benessere complessivo dell'allevamento: </w:t>
      </w:r>
    </w:p>
    <w:p w:rsidR="00803772" w:rsidRPr="00565959" w:rsidRDefault="005F574B" w:rsidP="006614B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E’ stato</w:t>
      </w:r>
      <w:r w:rsidR="0013352B" w:rsidRPr="00565959">
        <w:rPr>
          <w:rFonts w:ascii="Arial" w:hAnsi="Arial" w:cs="Arial"/>
          <w:sz w:val="22"/>
          <w:szCs w:val="22"/>
        </w:rPr>
        <w:t xml:space="preserve"> osserva</w:t>
      </w:r>
      <w:r w:rsidR="00430DE7" w:rsidRPr="00565959">
        <w:rPr>
          <w:rFonts w:ascii="Arial" w:hAnsi="Arial" w:cs="Arial"/>
          <w:sz w:val="22"/>
          <w:szCs w:val="22"/>
        </w:rPr>
        <w:t>to</w:t>
      </w:r>
      <w:r w:rsidR="0013352B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>che la mortalità negli allevamenti da riproduzione ha un’elevata</w:t>
      </w:r>
      <w:r w:rsidR="0013352B" w:rsidRPr="00565959">
        <w:rPr>
          <w:rFonts w:ascii="Arial" w:hAnsi="Arial" w:cs="Arial"/>
          <w:sz w:val="22"/>
          <w:szCs w:val="22"/>
        </w:rPr>
        <w:t xml:space="preserve"> incidenza nei primi tre mesi di vita</w:t>
      </w:r>
      <w:r w:rsidRPr="00565959">
        <w:rPr>
          <w:rFonts w:ascii="Arial" w:hAnsi="Arial" w:cs="Arial"/>
          <w:sz w:val="22"/>
          <w:szCs w:val="22"/>
        </w:rPr>
        <w:t xml:space="preserve"> degli animali</w:t>
      </w:r>
      <w:r w:rsidR="0013352B" w:rsidRPr="00565959">
        <w:rPr>
          <w:rFonts w:ascii="Arial" w:hAnsi="Arial" w:cs="Arial"/>
          <w:sz w:val="22"/>
          <w:szCs w:val="22"/>
        </w:rPr>
        <w:t xml:space="preserve">, </w:t>
      </w:r>
      <w:r w:rsidRPr="00565959">
        <w:rPr>
          <w:rFonts w:ascii="Arial" w:hAnsi="Arial" w:cs="Arial"/>
          <w:sz w:val="22"/>
          <w:szCs w:val="22"/>
        </w:rPr>
        <w:t xml:space="preserve">mentre </w:t>
      </w:r>
      <w:r w:rsidR="00803772" w:rsidRPr="00565959">
        <w:rPr>
          <w:rFonts w:ascii="Arial" w:hAnsi="Arial" w:cs="Arial"/>
          <w:sz w:val="22"/>
          <w:szCs w:val="22"/>
        </w:rPr>
        <w:t xml:space="preserve">negli allevamenti da </w:t>
      </w:r>
      <w:r w:rsidRPr="00565959">
        <w:rPr>
          <w:rFonts w:ascii="Arial" w:hAnsi="Arial" w:cs="Arial"/>
          <w:sz w:val="22"/>
          <w:szCs w:val="22"/>
        </w:rPr>
        <w:t>ingrasso</w:t>
      </w:r>
      <w:r w:rsidR="0013352B" w:rsidRPr="00565959">
        <w:rPr>
          <w:rFonts w:ascii="Arial" w:hAnsi="Arial" w:cs="Arial"/>
          <w:sz w:val="22"/>
          <w:szCs w:val="22"/>
        </w:rPr>
        <w:t xml:space="preserve"> </w:t>
      </w:r>
      <w:r w:rsidR="00803772" w:rsidRPr="00565959">
        <w:rPr>
          <w:rFonts w:ascii="Arial" w:hAnsi="Arial" w:cs="Arial"/>
          <w:sz w:val="22"/>
          <w:szCs w:val="22"/>
        </w:rPr>
        <w:t xml:space="preserve">nei primi mesi dopo l’acquisto </w:t>
      </w:r>
      <w:r w:rsidRPr="00565959">
        <w:rPr>
          <w:rFonts w:ascii="Arial" w:hAnsi="Arial" w:cs="Arial"/>
          <w:sz w:val="22"/>
          <w:szCs w:val="22"/>
        </w:rPr>
        <w:t>dei capi</w:t>
      </w:r>
      <w:r w:rsidR="00803772" w:rsidRPr="00565959">
        <w:rPr>
          <w:rFonts w:ascii="Arial" w:hAnsi="Arial" w:cs="Arial"/>
          <w:sz w:val="22"/>
          <w:szCs w:val="22"/>
        </w:rPr>
        <w:t>.</w:t>
      </w:r>
    </w:p>
    <w:p w:rsidR="005E3AE9" w:rsidRPr="00565959" w:rsidRDefault="00A71EC4" w:rsidP="006614B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Sulla base di queste considerazioni si ritiene che il </w:t>
      </w:r>
      <w:r w:rsidR="005E3AE9" w:rsidRPr="00565959">
        <w:rPr>
          <w:rFonts w:ascii="Arial" w:hAnsi="Arial" w:cs="Arial"/>
          <w:sz w:val="22"/>
          <w:szCs w:val="22"/>
        </w:rPr>
        <w:t xml:space="preserve">rapporto </w:t>
      </w:r>
      <w:r w:rsidR="005F574B" w:rsidRPr="00565959">
        <w:rPr>
          <w:rFonts w:ascii="Arial" w:hAnsi="Arial" w:cs="Arial"/>
          <w:sz w:val="22"/>
          <w:szCs w:val="22"/>
        </w:rPr>
        <w:t>tra soggetti svezzati e nati</w:t>
      </w:r>
      <w:r w:rsidRPr="00565959">
        <w:rPr>
          <w:rFonts w:ascii="Arial" w:hAnsi="Arial" w:cs="Arial"/>
          <w:sz w:val="22"/>
          <w:szCs w:val="22"/>
        </w:rPr>
        <w:t xml:space="preserve"> debba </w:t>
      </w:r>
      <w:r w:rsidR="005C72AD" w:rsidRPr="00565959">
        <w:rPr>
          <w:rFonts w:ascii="Arial" w:hAnsi="Arial" w:cs="Arial"/>
          <w:sz w:val="22"/>
          <w:szCs w:val="22"/>
        </w:rPr>
        <w:t xml:space="preserve"> essere </w:t>
      </w:r>
      <w:r w:rsidR="005F574B" w:rsidRPr="00565959">
        <w:rPr>
          <w:rFonts w:ascii="Arial" w:hAnsi="Arial" w:cs="Arial"/>
          <w:sz w:val="22"/>
          <w:szCs w:val="22"/>
        </w:rPr>
        <w:t>valutato,</w:t>
      </w:r>
      <w:r w:rsidR="00430DE7" w:rsidRPr="00565959">
        <w:rPr>
          <w:rFonts w:ascii="Arial" w:hAnsi="Arial" w:cs="Arial"/>
          <w:sz w:val="22"/>
          <w:szCs w:val="22"/>
        </w:rPr>
        <w:t xml:space="preserve"> </w:t>
      </w:r>
      <w:r w:rsidR="005F574B" w:rsidRPr="00565959">
        <w:rPr>
          <w:rFonts w:ascii="Arial" w:hAnsi="Arial" w:cs="Arial"/>
          <w:sz w:val="22"/>
          <w:szCs w:val="22"/>
        </w:rPr>
        <w:t xml:space="preserve">in base alla specie animale e alla tipologia di allevamento, </w:t>
      </w:r>
      <w:r w:rsidR="00430DE7" w:rsidRPr="00565959">
        <w:rPr>
          <w:rFonts w:ascii="Arial" w:hAnsi="Arial" w:cs="Arial"/>
          <w:sz w:val="22"/>
          <w:szCs w:val="22"/>
        </w:rPr>
        <w:t>come segue</w:t>
      </w:r>
      <w:r w:rsidR="006614BC" w:rsidRPr="00565959">
        <w:rPr>
          <w:rFonts w:ascii="Arial" w:hAnsi="Arial" w:cs="Arial"/>
          <w:sz w:val="22"/>
          <w:szCs w:val="22"/>
        </w:rPr>
        <w:t>:</w:t>
      </w:r>
    </w:p>
    <w:p w:rsidR="00803772" w:rsidRPr="00565959" w:rsidRDefault="005E3AE9" w:rsidP="005E3AE9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Bovini da carne</w:t>
      </w:r>
      <w:r w:rsidRPr="00565959">
        <w:rPr>
          <w:rFonts w:ascii="Arial" w:hAnsi="Arial" w:cs="Arial"/>
          <w:sz w:val="22"/>
          <w:szCs w:val="22"/>
        </w:rPr>
        <w:t xml:space="preserve">: rapporto tra </w:t>
      </w:r>
      <w:r w:rsidR="005F574B" w:rsidRPr="00565959">
        <w:rPr>
          <w:rFonts w:ascii="Arial" w:hAnsi="Arial" w:cs="Arial"/>
          <w:sz w:val="22"/>
          <w:szCs w:val="22"/>
        </w:rPr>
        <w:t xml:space="preserve">il numero di soggetti svezzati, di età compresa tra i 3 e i 6 mesi di vita o venduti prima del raggiungimento di tale età e </w:t>
      </w:r>
      <w:r w:rsidRPr="00565959">
        <w:rPr>
          <w:rFonts w:ascii="Arial" w:hAnsi="Arial" w:cs="Arial"/>
          <w:sz w:val="22"/>
          <w:szCs w:val="22"/>
        </w:rPr>
        <w:t>il numero di vitelli nati in allevamento nell’anno di impegno e correttamente registrati in BDN (banca dati anagrafe nazionale)</w:t>
      </w:r>
      <w:r w:rsidR="00803772" w:rsidRPr="00565959">
        <w:rPr>
          <w:rFonts w:ascii="Arial" w:hAnsi="Arial" w:cs="Arial"/>
          <w:sz w:val="22"/>
          <w:szCs w:val="22"/>
        </w:rPr>
        <w:t>; relativamente ai soggetti svezzati si terrà conto solo dei capi nati e svezzati nell’ambito della stessa annualità di impegno</w:t>
      </w:r>
      <w:r w:rsidRPr="00565959">
        <w:rPr>
          <w:rFonts w:ascii="Arial" w:hAnsi="Arial" w:cs="Arial"/>
          <w:sz w:val="22"/>
          <w:szCs w:val="22"/>
        </w:rPr>
        <w:t xml:space="preserve">. </w:t>
      </w:r>
    </w:p>
    <w:p w:rsidR="004F10A5" w:rsidRPr="004F10A5" w:rsidRDefault="004F10A5" w:rsidP="005E3AE9">
      <w:pPr>
        <w:ind w:left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F10A5">
        <w:rPr>
          <w:rFonts w:ascii="Arial" w:hAnsi="Arial" w:cs="Arial"/>
          <w:sz w:val="22"/>
          <w:szCs w:val="22"/>
        </w:rPr>
        <w:lastRenderedPageBreak/>
        <w:t xml:space="preserve">Nel caso degli allevamenti da ingrasso il rapporto viene calcolato tra la differenza tra il numero di capi acquistati nel periodo di impegno e il numero di capi morti entro 90 giorni dalla data di acquisto (numeratore) e il numero di capi acquistati nel periodo di impegno (denominatore). Ai fini del calcolo non </w:t>
      </w:r>
      <w:r>
        <w:rPr>
          <w:rFonts w:ascii="Arial" w:hAnsi="Arial" w:cs="Arial"/>
          <w:sz w:val="22"/>
          <w:szCs w:val="22"/>
        </w:rPr>
        <w:t>vengono</w:t>
      </w:r>
      <w:r w:rsidRPr="004F10A5">
        <w:rPr>
          <w:rFonts w:ascii="Arial" w:hAnsi="Arial" w:cs="Arial"/>
          <w:sz w:val="22"/>
          <w:szCs w:val="22"/>
        </w:rPr>
        <w:t xml:space="preserve"> conteggiati i capi acquistati negli ultimi 90 giorni del periodo di impegno.</w:t>
      </w:r>
    </w:p>
    <w:p w:rsidR="006614BC" w:rsidRPr="00565959" w:rsidRDefault="005E3AE9" w:rsidP="005E3AE9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Ovini</w:t>
      </w:r>
      <w:r w:rsidR="00F31E7D" w:rsidRPr="00565959">
        <w:rPr>
          <w:rFonts w:ascii="Arial" w:hAnsi="Arial" w:cs="Arial"/>
          <w:sz w:val="22"/>
          <w:szCs w:val="22"/>
          <w:u w:val="single"/>
        </w:rPr>
        <w:t xml:space="preserve"> -</w:t>
      </w:r>
      <w:r w:rsidRPr="00565959">
        <w:rPr>
          <w:rFonts w:ascii="Arial" w:hAnsi="Arial" w:cs="Arial"/>
          <w:sz w:val="22"/>
          <w:szCs w:val="22"/>
          <w:u w:val="single"/>
        </w:rPr>
        <w:t xml:space="preserve"> caprini</w:t>
      </w:r>
      <w:r w:rsidRPr="00565959">
        <w:rPr>
          <w:rFonts w:ascii="Arial" w:hAnsi="Arial" w:cs="Arial"/>
          <w:sz w:val="22"/>
          <w:szCs w:val="22"/>
        </w:rPr>
        <w:t xml:space="preserve">: rapporto tra </w:t>
      </w:r>
      <w:r w:rsidR="00F31E7D" w:rsidRPr="00565959">
        <w:rPr>
          <w:rFonts w:ascii="Arial" w:hAnsi="Arial" w:cs="Arial"/>
          <w:sz w:val="22"/>
          <w:szCs w:val="22"/>
        </w:rPr>
        <w:t xml:space="preserve">il numero di soggetti (agnelli/capretti) svezzati, di età compresa tra i 30 giorni e i 3 mesi di vita o venduti prima del raggiungimento di tale età e </w:t>
      </w:r>
      <w:r w:rsidRPr="00565959">
        <w:rPr>
          <w:rFonts w:ascii="Arial" w:hAnsi="Arial" w:cs="Arial"/>
          <w:sz w:val="22"/>
          <w:szCs w:val="22"/>
        </w:rPr>
        <w:t xml:space="preserve">il numero di agnelli/capretti nati </w:t>
      </w:r>
      <w:r w:rsidR="00803772" w:rsidRPr="00565959">
        <w:rPr>
          <w:rFonts w:ascii="Arial" w:hAnsi="Arial" w:cs="Arial"/>
          <w:sz w:val="22"/>
          <w:szCs w:val="22"/>
        </w:rPr>
        <w:t xml:space="preserve">in allevamento </w:t>
      </w:r>
      <w:r w:rsidR="00F31E7D" w:rsidRPr="00565959">
        <w:rPr>
          <w:rFonts w:ascii="Arial" w:hAnsi="Arial" w:cs="Arial"/>
          <w:sz w:val="22"/>
          <w:szCs w:val="22"/>
        </w:rPr>
        <w:t xml:space="preserve">nello stesso </w:t>
      </w:r>
      <w:r w:rsidRPr="00565959">
        <w:rPr>
          <w:rFonts w:ascii="Arial" w:hAnsi="Arial" w:cs="Arial"/>
          <w:sz w:val="22"/>
          <w:szCs w:val="22"/>
        </w:rPr>
        <w:t>anno di impegno e correttamente registrati nel registro di carico e scarico degli animali</w:t>
      </w:r>
      <w:r w:rsidR="00803772" w:rsidRPr="00565959">
        <w:rPr>
          <w:rFonts w:ascii="Arial" w:hAnsi="Arial" w:cs="Arial"/>
          <w:sz w:val="22"/>
          <w:szCs w:val="22"/>
        </w:rPr>
        <w:t>; relativamente ai soggetti svezzati si terrà conto solo dei capi nati e svezzati nell’ambito della stessa annualità di impegno</w:t>
      </w:r>
      <w:r w:rsidRPr="00565959">
        <w:rPr>
          <w:rFonts w:ascii="Arial" w:hAnsi="Arial" w:cs="Arial"/>
          <w:sz w:val="22"/>
          <w:szCs w:val="22"/>
        </w:rPr>
        <w:t xml:space="preserve">. </w:t>
      </w:r>
    </w:p>
    <w:p w:rsidR="005E3AE9" w:rsidRPr="00565959" w:rsidRDefault="005E3AE9" w:rsidP="005E3AE9">
      <w:pPr>
        <w:ind w:left="709"/>
        <w:jc w:val="both"/>
        <w:rPr>
          <w:rFonts w:ascii="Arial" w:hAnsi="Arial" w:cs="Arial"/>
          <w:color w:val="0070C0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Equini</w:t>
      </w:r>
      <w:r w:rsidRPr="00565959">
        <w:rPr>
          <w:rFonts w:ascii="Arial" w:hAnsi="Arial" w:cs="Arial"/>
          <w:sz w:val="22"/>
          <w:szCs w:val="22"/>
        </w:rPr>
        <w:t xml:space="preserve">: rapporto tra </w:t>
      </w:r>
      <w:r w:rsidR="00F31E7D" w:rsidRPr="00565959">
        <w:rPr>
          <w:rFonts w:ascii="Arial" w:hAnsi="Arial" w:cs="Arial"/>
          <w:sz w:val="22"/>
          <w:szCs w:val="22"/>
        </w:rPr>
        <w:t xml:space="preserve">il numero di soggetti svezzati, di età compresa tra i 4 e i 6 mesi di vita o venduti prima del raggiungimento di tale età e </w:t>
      </w:r>
      <w:r w:rsidRPr="00565959">
        <w:rPr>
          <w:rFonts w:ascii="Arial" w:hAnsi="Arial" w:cs="Arial"/>
          <w:sz w:val="22"/>
          <w:szCs w:val="22"/>
        </w:rPr>
        <w:t xml:space="preserve">il numero di puledri nati </w:t>
      </w:r>
      <w:r w:rsidR="00803772" w:rsidRPr="00565959">
        <w:rPr>
          <w:rFonts w:ascii="Arial" w:hAnsi="Arial" w:cs="Arial"/>
          <w:sz w:val="22"/>
          <w:szCs w:val="22"/>
        </w:rPr>
        <w:t xml:space="preserve">in allevamento </w:t>
      </w:r>
      <w:r w:rsidRPr="00565959">
        <w:rPr>
          <w:rFonts w:ascii="Arial" w:hAnsi="Arial" w:cs="Arial"/>
          <w:sz w:val="22"/>
          <w:szCs w:val="22"/>
        </w:rPr>
        <w:t>nell</w:t>
      </w:r>
      <w:r w:rsidR="00F31E7D" w:rsidRPr="00565959">
        <w:rPr>
          <w:rFonts w:ascii="Arial" w:hAnsi="Arial" w:cs="Arial"/>
          <w:sz w:val="22"/>
          <w:szCs w:val="22"/>
        </w:rPr>
        <w:t xml:space="preserve">o stesso </w:t>
      </w:r>
      <w:r w:rsidRPr="00565959">
        <w:rPr>
          <w:rFonts w:ascii="Arial" w:hAnsi="Arial" w:cs="Arial"/>
          <w:sz w:val="22"/>
          <w:szCs w:val="22"/>
        </w:rPr>
        <w:t>anno di impegno e correttamente registrati nel registro di carico e scarico degli animali</w:t>
      </w:r>
      <w:r w:rsidR="00803772" w:rsidRPr="00565959">
        <w:rPr>
          <w:rFonts w:ascii="Arial" w:hAnsi="Arial" w:cs="Arial"/>
          <w:sz w:val="22"/>
          <w:szCs w:val="22"/>
        </w:rPr>
        <w:t>; relativamente ai soggetti svezzati si terrà conto solo dei capi nati e svezzati nell’ambito della stessa annualità di impegno</w:t>
      </w:r>
      <w:r w:rsidRPr="00565959">
        <w:rPr>
          <w:rFonts w:ascii="Arial" w:hAnsi="Arial" w:cs="Arial"/>
          <w:sz w:val="22"/>
          <w:szCs w:val="22"/>
        </w:rPr>
        <w:t xml:space="preserve">. </w:t>
      </w: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614BC" w:rsidRPr="00565959" w:rsidRDefault="006614BC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9C7BF2" w:rsidP="009C7B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5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>Esecuzione di almeno un controllo parassitologico annuale su un campione significativo di animali allevati (1% dei soggetti allevati - minimo 3 capi)</w:t>
      </w:r>
    </w:p>
    <w:p w:rsidR="00A71EC4" w:rsidRPr="00565959" w:rsidRDefault="00451851" w:rsidP="006614BC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Il beneficiario dovrà effettuare una analisi parassitologica </w:t>
      </w:r>
      <w:proofErr w:type="spellStart"/>
      <w:r w:rsidR="006614BC" w:rsidRPr="00565959">
        <w:rPr>
          <w:rFonts w:ascii="Arial" w:hAnsi="Arial" w:cs="Arial"/>
          <w:sz w:val="22"/>
          <w:szCs w:val="22"/>
        </w:rPr>
        <w:t>quali</w:t>
      </w:r>
      <w:r w:rsidR="00A71EC4" w:rsidRPr="00565959">
        <w:rPr>
          <w:rFonts w:ascii="Arial" w:hAnsi="Arial" w:cs="Arial"/>
          <w:sz w:val="22"/>
          <w:szCs w:val="22"/>
        </w:rPr>
        <w:t>-quantitativa</w:t>
      </w:r>
      <w:proofErr w:type="spellEnd"/>
      <w:r w:rsidR="00A71EC4" w:rsidRPr="00565959">
        <w:rPr>
          <w:rFonts w:ascii="Arial" w:hAnsi="Arial" w:cs="Arial"/>
          <w:sz w:val="22"/>
          <w:szCs w:val="22"/>
        </w:rPr>
        <w:t xml:space="preserve"> allo scopo di valutare il grado di infestazione degli animali e predisporre eventuali interventi terapeutici e/o preventivi.</w:t>
      </w:r>
      <w:r w:rsidRPr="00565959">
        <w:rPr>
          <w:rFonts w:ascii="Arial" w:hAnsi="Arial" w:cs="Arial"/>
          <w:sz w:val="22"/>
          <w:szCs w:val="22"/>
        </w:rPr>
        <w:t xml:space="preserve"> </w:t>
      </w:r>
      <w:r w:rsidR="00350324" w:rsidRPr="00565959">
        <w:rPr>
          <w:rFonts w:ascii="Arial" w:hAnsi="Arial" w:cs="Arial"/>
          <w:sz w:val="22"/>
          <w:szCs w:val="22"/>
        </w:rPr>
        <w:t>Tale monitoraggio dovrà essere effettuato annualmente sull’1% dei capi, con un minimo di 3 campioni</w:t>
      </w:r>
      <w:r w:rsidR="00F05873" w:rsidRPr="00565959">
        <w:rPr>
          <w:rFonts w:ascii="Arial" w:hAnsi="Arial" w:cs="Arial"/>
          <w:sz w:val="22"/>
          <w:szCs w:val="22"/>
        </w:rPr>
        <w:t>,</w:t>
      </w:r>
      <w:r w:rsidR="00350324" w:rsidRPr="00565959">
        <w:rPr>
          <w:rFonts w:ascii="Arial" w:hAnsi="Arial" w:cs="Arial"/>
          <w:sz w:val="22"/>
          <w:szCs w:val="22"/>
        </w:rPr>
        <w:t xml:space="preserve"> con le modalità di seguito individuate per specie animale e per tipologia di allevamento:</w:t>
      </w:r>
    </w:p>
    <w:p w:rsidR="00350324" w:rsidRPr="00565959" w:rsidRDefault="00350324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Bovini da carne - allevamento semibrado</w:t>
      </w:r>
      <w:r w:rsidRPr="00565959">
        <w:rPr>
          <w:rFonts w:ascii="Arial" w:hAnsi="Arial" w:cs="Arial"/>
          <w:sz w:val="22"/>
          <w:szCs w:val="22"/>
        </w:rPr>
        <w:t>: il campione di feci deve essere prelevato direttamente dall’ampolla rettale da ogni soggetto incluso nel campione, al momento del rientro in stalla dal pascolo.</w:t>
      </w:r>
    </w:p>
    <w:p w:rsidR="00350324" w:rsidRPr="00565959" w:rsidRDefault="00350324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Bovini da carne - allevamento brado</w:t>
      </w:r>
      <w:r w:rsidRPr="00565959">
        <w:rPr>
          <w:rFonts w:ascii="Arial" w:hAnsi="Arial" w:cs="Arial"/>
          <w:sz w:val="22"/>
          <w:szCs w:val="22"/>
        </w:rPr>
        <w:t>: il campione di feci deve essere prelevato direttamente dall’ampolla rettale da ogni soggetto incluso nel campione, preferibilmente nella stagione autunnale e/o in concomitanza di altre operazioni pratiche di carattere zootecnico/sanitario (profilassi, ecc.).</w:t>
      </w:r>
    </w:p>
    <w:p w:rsidR="003362E2" w:rsidRPr="00565959" w:rsidRDefault="003362E2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B</w:t>
      </w:r>
      <w:r w:rsidR="00565959" w:rsidRPr="00565959">
        <w:rPr>
          <w:rFonts w:ascii="Arial" w:hAnsi="Arial" w:cs="Arial"/>
          <w:sz w:val="22"/>
          <w:szCs w:val="22"/>
          <w:u w:val="single"/>
        </w:rPr>
        <w:t>ovini da ingrasso – allevamento in stalla</w:t>
      </w:r>
      <w:r w:rsidR="00565959" w:rsidRPr="00565959">
        <w:rPr>
          <w:rFonts w:ascii="Arial" w:hAnsi="Arial" w:cs="Arial"/>
          <w:sz w:val="22"/>
          <w:szCs w:val="22"/>
        </w:rPr>
        <w:t>: il campione di feci deve essere prelevato direttamente dall’ampolla rettale da ogni soggetto incluso nel campione nel periodo di quarantena.</w:t>
      </w:r>
    </w:p>
    <w:p w:rsidR="00350324" w:rsidRPr="00565959" w:rsidRDefault="00350324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 xml:space="preserve">Bovini da latte - stabulazione </w:t>
      </w:r>
      <w:proofErr w:type="spellStart"/>
      <w:r w:rsidRPr="00565959">
        <w:rPr>
          <w:rFonts w:ascii="Arial" w:hAnsi="Arial" w:cs="Arial"/>
          <w:sz w:val="22"/>
          <w:szCs w:val="22"/>
          <w:u w:val="single"/>
        </w:rPr>
        <w:t>fissa-libera</w:t>
      </w:r>
      <w:proofErr w:type="spellEnd"/>
      <w:r w:rsidRPr="00565959">
        <w:rPr>
          <w:rFonts w:ascii="Arial" w:hAnsi="Arial" w:cs="Arial"/>
          <w:sz w:val="22"/>
          <w:szCs w:val="22"/>
          <w:u w:val="single"/>
        </w:rPr>
        <w:t xml:space="preserve">: </w:t>
      </w:r>
      <w:r w:rsidRPr="00565959">
        <w:rPr>
          <w:rFonts w:ascii="Arial" w:hAnsi="Arial" w:cs="Arial"/>
          <w:sz w:val="22"/>
          <w:szCs w:val="22"/>
        </w:rPr>
        <w:t>il campione di feci deve essere prelevato direttamente dall’ampolla rettale da ogni soggetto incluso nel campione, durante il periodo dell’asciutta.</w:t>
      </w:r>
    </w:p>
    <w:p w:rsidR="00350324" w:rsidRPr="00565959" w:rsidRDefault="00350324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Ovini/Caprini da latte e carne - tutti i sistemi di allevamento</w:t>
      </w:r>
      <w:r w:rsidRPr="00565959">
        <w:rPr>
          <w:rFonts w:ascii="Arial" w:hAnsi="Arial" w:cs="Arial"/>
          <w:sz w:val="22"/>
          <w:szCs w:val="22"/>
        </w:rPr>
        <w:t>: il campione di feci deve essere prelevato direttamente dall’ampolla rettale da ogni soggetto incluso nel campione, durante il periodo dell’asciutta per gli animali da latte e un mese prima del parto per gli animali da carne.</w:t>
      </w:r>
    </w:p>
    <w:p w:rsidR="00350324" w:rsidRPr="00565959" w:rsidRDefault="00350324" w:rsidP="00350324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t>Equini - tutti i sistemi di allevamento</w:t>
      </w:r>
      <w:r w:rsidRPr="00565959">
        <w:rPr>
          <w:rFonts w:ascii="Arial" w:hAnsi="Arial" w:cs="Arial"/>
          <w:sz w:val="22"/>
          <w:szCs w:val="22"/>
        </w:rPr>
        <w:t xml:space="preserve">: il campione di feci deve essere prelevato direttamente dall’ampolla rettale da ogni soggetto incluso nel campione </w:t>
      </w:r>
    </w:p>
    <w:p w:rsidR="00350324" w:rsidRPr="00565959" w:rsidRDefault="00451851" w:rsidP="009C7BF2">
      <w:pPr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Nel caso di esito positivo</w:t>
      </w:r>
      <w:r w:rsidR="00350324" w:rsidRPr="00565959">
        <w:rPr>
          <w:rFonts w:ascii="Arial" w:hAnsi="Arial" w:cs="Arial"/>
          <w:sz w:val="22"/>
          <w:szCs w:val="22"/>
        </w:rPr>
        <w:t xml:space="preserve"> delle analisi</w:t>
      </w:r>
      <w:r w:rsidRPr="00565959">
        <w:rPr>
          <w:rFonts w:ascii="Arial" w:hAnsi="Arial" w:cs="Arial"/>
          <w:sz w:val="22"/>
          <w:szCs w:val="22"/>
        </w:rPr>
        <w:t xml:space="preserve">, il veterinario incaricato della verifica della gestione dell’allevamento dovrà relazionare sulle conseguenti strategie </w:t>
      </w:r>
      <w:r w:rsidR="00350324" w:rsidRPr="00565959">
        <w:rPr>
          <w:rFonts w:ascii="Arial" w:hAnsi="Arial" w:cs="Arial"/>
          <w:sz w:val="22"/>
          <w:szCs w:val="22"/>
        </w:rPr>
        <w:t>da</w:t>
      </w:r>
      <w:r w:rsidR="00A71EC4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>attiva</w:t>
      </w:r>
      <w:r w:rsidR="00350324" w:rsidRPr="00565959">
        <w:rPr>
          <w:rFonts w:ascii="Arial" w:hAnsi="Arial" w:cs="Arial"/>
          <w:sz w:val="22"/>
          <w:szCs w:val="22"/>
        </w:rPr>
        <w:t>r</w:t>
      </w:r>
      <w:r w:rsidRPr="00565959">
        <w:rPr>
          <w:rFonts w:ascii="Arial" w:hAnsi="Arial" w:cs="Arial"/>
          <w:sz w:val="22"/>
          <w:szCs w:val="22"/>
        </w:rPr>
        <w:t xml:space="preserve">e (profilassi,  rotazione </w:t>
      </w:r>
      <w:proofErr w:type="spellStart"/>
      <w:r w:rsidRPr="00565959">
        <w:rPr>
          <w:rFonts w:ascii="Arial" w:hAnsi="Arial" w:cs="Arial"/>
          <w:sz w:val="22"/>
          <w:szCs w:val="22"/>
        </w:rPr>
        <w:t>pascolo…</w:t>
      </w:r>
      <w:proofErr w:type="spellEnd"/>
      <w:r w:rsidRPr="00565959">
        <w:rPr>
          <w:rFonts w:ascii="Arial" w:hAnsi="Arial" w:cs="Arial"/>
          <w:sz w:val="22"/>
          <w:szCs w:val="22"/>
        </w:rPr>
        <w:t>.)</w:t>
      </w:r>
      <w:r w:rsidR="00350324" w:rsidRPr="00565959">
        <w:rPr>
          <w:rFonts w:ascii="Arial" w:hAnsi="Arial" w:cs="Arial"/>
          <w:sz w:val="22"/>
          <w:szCs w:val="22"/>
        </w:rPr>
        <w:t>.</w:t>
      </w:r>
    </w:p>
    <w:p w:rsidR="00451851" w:rsidRPr="00565959" w:rsidRDefault="00451851" w:rsidP="009C7BF2">
      <w:pPr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Copia del report delle analisi effettuate dovrà essere conservata nel Fascicolo di domanda insieme alla relazione sulle strategie attivate in caso di esito positivo delle analisi.</w:t>
      </w: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51851" w:rsidRPr="00565959" w:rsidRDefault="009C7BF2" w:rsidP="009C7B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7 e 13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>Introduzione di aree destinate alla quarantena degli animali e/o ad infermeria:</w:t>
      </w:r>
    </w:p>
    <w:p w:rsidR="00451851" w:rsidRPr="00565959" w:rsidRDefault="00451851" w:rsidP="0045185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All’interno dell’allevamento </w:t>
      </w:r>
      <w:r w:rsidR="005A4E9D" w:rsidRPr="00565959">
        <w:rPr>
          <w:rFonts w:ascii="Arial" w:hAnsi="Arial" w:cs="Arial"/>
          <w:sz w:val="22"/>
          <w:szCs w:val="22"/>
        </w:rPr>
        <w:t>devono essere previste aree destinate ad infermeria e/o quarantena così strutturate:</w:t>
      </w:r>
    </w:p>
    <w:p w:rsidR="00657DAA" w:rsidRPr="00565959" w:rsidRDefault="00657DAA" w:rsidP="0045185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5A4E9D" w:rsidRPr="00565959" w:rsidRDefault="005A4E9D" w:rsidP="00565959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  <w:u w:val="single"/>
        </w:rPr>
        <w:lastRenderedPageBreak/>
        <w:t>Infermeria</w:t>
      </w:r>
      <w:r w:rsidRPr="00565959">
        <w:rPr>
          <w:rFonts w:ascii="Arial" w:hAnsi="Arial" w:cs="Arial"/>
          <w:sz w:val="22"/>
          <w:szCs w:val="22"/>
        </w:rPr>
        <w:t>: l</w:t>
      </w:r>
      <w:r w:rsidR="00571ADA" w:rsidRPr="00565959">
        <w:rPr>
          <w:rFonts w:ascii="Arial" w:hAnsi="Arial" w:cs="Arial"/>
          <w:sz w:val="22"/>
          <w:szCs w:val="22"/>
        </w:rPr>
        <w:t xml:space="preserve">’area di </w:t>
      </w:r>
      <w:r w:rsidR="00E018E7" w:rsidRPr="00565959">
        <w:rPr>
          <w:rFonts w:ascii="Arial" w:hAnsi="Arial" w:cs="Arial"/>
          <w:sz w:val="22"/>
          <w:szCs w:val="22"/>
        </w:rPr>
        <w:t>i</w:t>
      </w:r>
      <w:r w:rsidR="00571ADA" w:rsidRPr="00565959">
        <w:rPr>
          <w:rFonts w:ascii="Arial" w:hAnsi="Arial" w:cs="Arial"/>
          <w:sz w:val="22"/>
          <w:szCs w:val="22"/>
        </w:rPr>
        <w:t xml:space="preserve">nfermeria </w:t>
      </w:r>
      <w:r w:rsidRPr="00565959">
        <w:rPr>
          <w:rFonts w:ascii="Arial" w:hAnsi="Arial" w:cs="Arial"/>
          <w:sz w:val="22"/>
          <w:szCs w:val="22"/>
        </w:rPr>
        <w:t xml:space="preserve">deve essere realizzata  </w:t>
      </w:r>
      <w:r w:rsidR="00571ADA" w:rsidRPr="00565959">
        <w:rPr>
          <w:rFonts w:ascii="Arial" w:hAnsi="Arial" w:cs="Arial"/>
          <w:sz w:val="22"/>
          <w:szCs w:val="22"/>
        </w:rPr>
        <w:t xml:space="preserve">per l’isolamento di animali feriti, malati o che comunque necessitano di un temporaneo isolamento. </w:t>
      </w:r>
    </w:p>
    <w:p w:rsidR="00865991" w:rsidRPr="00565959" w:rsidRDefault="005A4E9D" w:rsidP="005A4E9D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L’area di infermeria deve essere separata con paret</w:t>
      </w:r>
      <w:r w:rsidR="00865991" w:rsidRPr="00565959">
        <w:rPr>
          <w:rFonts w:ascii="Arial" w:hAnsi="Arial" w:cs="Arial"/>
          <w:sz w:val="22"/>
          <w:szCs w:val="22"/>
        </w:rPr>
        <w:t>i</w:t>
      </w:r>
      <w:r w:rsidRPr="00565959">
        <w:rPr>
          <w:rFonts w:ascii="Arial" w:hAnsi="Arial" w:cs="Arial"/>
          <w:sz w:val="22"/>
          <w:szCs w:val="22"/>
        </w:rPr>
        <w:t xml:space="preserve"> divisori</w:t>
      </w:r>
      <w:r w:rsidR="00865991" w:rsidRPr="00565959">
        <w:rPr>
          <w:rFonts w:ascii="Arial" w:hAnsi="Arial" w:cs="Arial"/>
          <w:sz w:val="22"/>
          <w:szCs w:val="22"/>
        </w:rPr>
        <w:t>e</w:t>
      </w:r>
      <w:r w:rsidRPr="00565959">
        <w:rPr>
          <w:rFonts w:ascii="Arial" w:hAnsi="Arial" w:cs="Arial"/>
          <w:sz w:val="22"/>
          <w:szCs w:val="22"/>
        </w:rPr>
        <w:t xml:space="preserve"> dal resto</w:t>
      </w:r>
      <w:r w:rsidR="00865991" w:rsidRPr="00565959">
        <w:rPr>
          <w:rFonts w:ascii="Arial" w:hAnsi="Arial" w:cs="Arial"/>
          <w:sz w:val="22"/>
          <w:szCs w:val="22"/>
        </w:rPr>
        <w:t xml:space="preserve"> </w:t>
      </w:r>
      <w:r w:rsidRPr="00565959">
        <w:rPr>
          <w:rFonts w:ascii="Arial" w:hAnsi="Arial" w:cs="Arial"/>
          <w:sz w:val="22"/>
          <w:szCs w:val="22"/>
        </w:rPr>
        <w:t>dell’allevamento o essere localizzata in area discontinua</w:t>
      </w:r>
      <w:r w:rsidR="00865991" w:rsidRPr="00565959">
        <w:rPr>
          <w:rFonts w:ascii="Arial" w:hAnsi="Arial" w:cs="Arial"/>
          <w:sz w:val="22"/>
          <w:szCs w:val="22"/>
        </w:rPr>
        <w:t>.</w:t>
      </w:r>
      <w:r w:rsidRPr="00565959">
        <w:rPr>
          <w:rFonts w:ascii="Arial" w:hAnsi="Arial" w:cs="Arial"/>
          <w:sz w:val="22"/>
          <w:szCs w:val="22"/>
        </w:rPr>
        <w:t xml:space="preserve"> </w:t>
      </w:r>
    </w:p>
    <w:p w:rsidR="00571ADA" w:rsidRPr="00565959" w:rsidRDefault="00571ADA" w:rsidP="005A4E9D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E’ necessario che sia separat</w:t>
      </w:r>
      <w:r w:rsidR="00865991" w:rsidRPr="00565959">
        <w:rPr>
          <w:rFonts w:ascii="Arial" w:hAnsi="Arial" w:cs="Arial"/>
          <w:sz w:val="22"/>
          <w:szCs w:val="22"/>
        </w:rPr>
        <w:t>a</w:t>
      </w:r>
      <w:r w:rsidRPr="00565959">
        <w:rPr>
          <w:rFonts w:ascii="Arial" w:hAnsi="Arial" w:cs="Arial"/>
          <w:sz w:val="22"/>
          <w:szCs w:val="22"/>
        </w:rPr>
        <w:t xml:space="preserve"> dalle altre aree di stabulazione (in modo particolare dalla sala parto), pulita e disinfettata. </w:t>
      </w:r>
      <w:r w:rsidR="00865991" w:rsidRPr="00565959">
        <w:rPr>
          <w:rFonts w:ascii="Arial" w:hAnsi="Arial" w:cs="Arial"/>
          <w:sz w:val="22"/>
          <w:szCs w:val="22"/>
        </w:rPr>
        <w:t>L</w:t>
      </w:r>
      <w:r w:rsidRPr="00565959">
        <w:rPr>
          <w:rFonts w:ascii="Arial" w:hAnsi="Arial" w:cs="Arial"/>
          <w:sz w:val="22"/>
          <w:szCs w:val="22"/>
        </w:rPr>
        <w:t>’area deve essere dotata di tutti i sistemi necessari a garantire un ambiente di vita ottimale per gli animali che vi soggiornano (sistemi di abbeveraggio, alimentazione, illuminazione, ecc.).</w:t>
      </w:r>
      <w:r w:rsidR="00865991" w:rsidRPr="00565959">
        <w:rPr>
          <w:rFonts w:ascii="Arial" w:hAnsi="Arial" w:cs="Arial"/>
          <w:sz w:val="22"/>
          <w:szCs w:val="22"/>
        </w:rPr>
        <w:t xml:space="preserve"> La capienza complessiva della zona isolamento-infermeria non deve essere inferiore al 3% del numero di animali allevati</w:t>
      </w:r>
      <w:r w:rsidR="00E018E7" w:rsidRPr="00565959">
        <w:rPr>
          <w:rFonts w:ascii="Arial" w:hAnsi="Arial" w:cs="Arial"/>
          <w:sz w:val="22"/>
          <w:szCs w:val="22"/>
        </w:rPr>
        <w:t>.</w:t>
      </w:r>
    </w:p>
    <w:p w:rsidR="00571ADA" w:rsidRPr="00565959" w:rsidRDefault="00571ADA" w:rsidP="00571ADA">
      <w:pPr>
        <w:ind w:left="284"/>
        <w:jc w:val="both"/>
        <w:rPr>
          <w:b/>
          <w:sz w:val="27"/>
          <w:szCs w:val="27"/>
        </w:rPr>
      </w:pPr>
    </w:p>
    <w:p w:rsidR="00571ADA" w:rsidRPr="00565959" w:rsidRDefault="00565959" w:rsidP="00571ADA">
      <w:pPr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565959">
        <w:rPr>
          <w:rFonts w:ascii="Arial" w:hAnsi="Arial" w:cs="Arial"/>
          <w:sz w:val="22"/>
          <w:szCs w:val="22"/>
          <w:u w:val="single"/>
        </w:rPr>
        <w:t>Quarantena</w:t>
      </w:r>
      <w:r w:rsidR="00865991" w:rsidRPr="00565959">
        <w:rPr>
          <w:rFonts w:ascii="Arial" w:hAnsi="Arial" w:cs="Arial"/>
          <w:sz w:val="22"/>
          <w:szCs w:val="22"/>
        </w:rPr>
        <w:t>: i</w:t>
      </w:r>
      <w:r w:rsidR="00571ADA" w:rsidRPr="00565959">
        <w:rPr>
          <w:rFonts w:ascii="Arial" w:hAnsi="Arial" w:cs="Arial"/>
          <w:sz w:val="22"/>
          <w:szCs w:val="22"/>
        </w:rPr>
        <w:t xml:space="preserve">l </w:t>
      </w:r>
      <w:r w:rsidR="00865991" w:rsidRPr="00565959">
        <w:rPr>
          <w:rFonts w:ascii="Arial" w:hAnsi="Arial" w:cs="Arial"/>
          <w:sz w:val="22"/>
          <w:szCs w:val="22"/>
        </w:rPr>
        <w:t>l</w:t>
      </w:r>
      <w:r w:rsidR="00571ADA" w:rsidRPr="00565959">
        <w:rPr>
          <w:rFonts w:ascii="Arial" w:hAnsi="Arial" w:cs="Arial"/>
          <w:sz w:val="22"/>
          <w:szCs w:val="22"/>
        </w:rPr>
        <w:t>ocale quarantena rappresenta un</w:t>
      </w:r>
      <w:r w:rsidR="00865991" w:rsidRPr="00565959">
        <w:rPr>
          <w:rFonts w:ascii="Arial" w:hAnsi="Arial" w:cs="Arial"/>
          <w:sz w:val="22"/>
          <w:szCs w:val="22"/>
        </w:rPr>
        <w:t>o spazio nel quale vengono introdotti dall’esterno i soggetti acquistati</w:t>
      </w:r>
      <w:r w:rsidRPr="00565959">
        <w:rPr>
          <w:rFonts w:ascii="Arial" w:hAnsi="Arial" w:cs="Arial"/>
          <w:sz w:val="22"/>
          <w:szCs w:val="22"/>
        </w:rPr>
        <w:t xml:space="preserve"> </w:t>
      </w:r>
      <w:r w:rsidR="00571ADA" w:rsidRPr="00565959">
        <w:rPr>
          <w:rFonts w:ascii="Arial" w:hAnsi="Arial" w:cs="Arial"/>
          <w:sz w:val="22"/>
          <w:szCs w:val="22"/>
        </w:rPr>
        <w:t xml:space="preserve">o </w:t>
      </w:r>
      <w:r w:rsidR="00865991" w:rsidRPr="00565959">
        <w:rPr>
          <w:rFonts w:ascii="Arial" w:hAnsi="Arial" w:cs="Arial"/>
          <w:sz w:val="22"/>
          <w:szCs w:val="22"/>
        </w:rPr>
        <w:t xml:space="preserve">tenuti animali affetti da </w:t>
      </w:r>
      <w:r w:rsidR="00571ADA" w:rsidRPr="00565959">
        <w:rPr>
          <w:rFonts w:ascii="Arial" w:hAnsi="Arial" w:cs="Arial"/>
          <w:sz w:val="22"/>
          <w:szCs w:val="22"/>
        </w:rPr>
        <w:t xml:space="preserve">malattie infettive diffusive. </w:t>
      </w:r>
      <w:r w:rsidR="00B363AC" w:rsidRPr="00565959">
        <w:rPr>
          <w:rFonts w:ascii="Arial" w:hAnsi="Arial" w:cs="Arial"/>
          <w:sz w:val="22"/>
          <w:szCs w:val="22"/>
        </w:rPr>
        <w:t>Il locale deve</w:t>
      </w:r>
      <w:r w:rsidR="00571ADA" w:rsidRPr="00565959">
        <w:rPr>
          <w:rFonts w:ascii="Arial" w:hAnsi="Arial" w:cs="Arial"/>
          <w:sz w:val="22"/>
          <w:szCs w:val="22"/>
        </w:rPr>
        <w:t xml:space="preserve"> essere separat</w:t>
      </w:r>
      <w:r w:rsidR="00B363AC" w:rsidRPr="00565959">
        <w:rPr>
          <w:rFonts w:ascii="Arial" w:hAnsi="Arial" w:cs="Arial"/>
          <w:sz w:val="22"/>
          <w:szCs w:val="22"/>
        </w:rPr>
        <w:t>o</w:t>
      </w:r>
      <w:r w:rsidR="00571ADA" w:rsidRPr="00565959">
        <w:rPr>
          <w:rFonts w:ascii="Arial" w:hAnsi="Arial" w:cs="Arial"/>
          <w:sz w:val="22"/>
          <w:szCs w:val="22"/>
        </w:rPr>
        <w:t xml:space="preserve"> </w:t>
      </w:r>
      <w:r w:rsidR="00B363AC" w:rsidRPr="00565959">
        <w:rPr>
          <w:rFonts w:ascii="Arial" w:hAnsi="Arial" w:cs="Arial"/>
          <w:sz w:val="22"/>
          <w:szCs w:val="22"/>
        </w:rPr>
        <w:t xml:space="preserve">e disposto sottovento rispetto alla stalla e </w:t>
      </w:r>
      <w:r w:rsidR="00571ADA" w:rsidRPr="00565959">
        <w:rPr>
          <w:rFonts w:ascii="Arial" w:hAnsi="Arial" w:cs="Arial"/>
          <w:sz w:val="22"/>
          <w:szCs w:val="22"/>
        </w:rPr>
        <w:t>dotat</w:t>
      </w:r>
      <w:r w:rsidR="00B363AC" w:rsidRPr="00565959">
        <w:rPr>
          <w:rFonts w:ascii="Arial" w:hAnsi="Arial" w:cs="Arial"/>
          <w:sz w:val="22"/>
          <w:szCs w:val="22"/>
        </w:rPr>
        <w:t>o</w:t>
      </w:r>
      <w:r w:rsidR="00865991" w:rsidRPr="00565959">
        <w:rPr>
          <w:rFonts w:ascii="Arial" w:hAnsi="Arial" w:cs="Arial"/>
          <w:sz w:val="22"/>
          <w:szCs w:val="22"/>
        </w:rPr>
        <w:t xml:space="preserve"> di attrezzature proprie (</w:t>
      </w:r>
      <w:r w:rsidR="00571ADA" w:rsidRPr="00565959">
        <w:rPr>
          <w:rFonts w:ascii="Arial" w:hAnsi="Arial" w:cs="Arial"/>
          <w:sz w:val="22"/>
          <w:szCs w:val="22"/>
        </w:rPr>
        <w:t xml:space="preserve">alimentatori, abbeveratoi </w:t>
      </w:r>
      <w:proofErr w:type="spellStart"/>
      <w:r w:rsidR="00571ADA" w:rsidRPr="00565959">
        <w:rPr>
          <w:rFonts w:ascii="Arial" w:hAnsi="Arial" w:cs="Arial"/>
          <w:sz w:val="22"/>
          <w:szCs w:val="22"/>
        </w:rPr>
        <w:t>etc</w:t>
      </w:r>
      <w:proofErr w:type="spellEnd"/>
      <w:r w:rsidR="00571ADA" w:rsidRPr="00565959">
        <w:rPr>
          <w:rFonts w:ascii="Arial" w:hAnsi="Arial" w:cs="Arial"/>
          <w:sz w:val="22"/>
          <w:szCs w:val="22"/>
        </w:rPr>
        <w:t xml:space="preserve">..) </w:t>
      </w:r>
      <w:r w:rsidR="00865991" w:rsidRPr="00565959">
        <w:rPr>
          <w:rFonts w:ascii="Arial" w:hAnsi="Arial" w:cs="Arial"/>
          <w:sz w:val="22"/>
          <w:szCs w:val="22"/>
        </w:rPr>
        <w:t xml:space="preserve">e di </w:t>
      </w:r>
      <w:r w:rsidR="00571ADA" w:rsidRPr="00565959">
        <w:rPr>
          <w:rFonts w:ascii="Arial" w:hAnsi="Arial" w:cs="Arial"/>
          <w:sz w:val="22"/>
          <w:szCs w:val="22"/>
        </w:rPr>
        <w:t>un adeguato di sistema di cattura</w:t>
      </w:r>
      <w:r w:rsidR="00B363AC" w:rsidRPr="00565959">
        <w:rPr>
          <w:rFonts w:ascii="Arial" w:hAnsi="Arial" w:cs="Arial"/>
          <w:sz w:val="22"/>
          <w:szCs w:val="22"/>
        </w:rPr>
        <w:t xml:space="preserve">. </w:t>
      </w:r>
      <w:r w:rsidR="00571ADA" w:rsidRPr="00565959">
        <w:rPr>
          <w:rFonts w:ascii="Arial" w:hAnsi="Arial" w:cs="Arial"/>
          <w:sz w:val="22"/>
          <w:szCs w:val="22"/>
        </w:rPr>
        <w:t xml:space="preserve"> </w:t>
      </w:r>
      <w:r w:rsidR="00B363AC" w:rsidRPr="00565959">
        <w:rPr>
          <w:rFonts w:ascii="Arial" w:hAnsi="Arial" w:cs="Arial"/>
          <w:sz w:val="22"/>
          <w:szCs w:val="22"/>
        </w:rPr>
        <w:t xml:space="preserve">Le </w:t>
      </w:r>
      <w:r w:rsidR="00571ADA" w:rsidRPr="00565959">
        <w:rPr>
          <w:rFonts w:ascii="Arial" w:hAnsi="Arial" w:cs="Arial"/>
          <w:sz w:val="22"/>
          <w:szCs w:val="22"/>
        </w:rPr>
        <w:t xml:space="preserve">superfici </w:t>
      </w:r>
      <w:r w:rsidR="00B363AC" w:rsidRPr="00565959">
        <w:rPr>
          <w:rFonts w:ascii="Arial" w:hAnsi="Arial" w:cs="Arial"/>
          <w:sz w:val="22"/>
          <w:szCs w:val="22"/>
        </w:rPr>
        <w:t xml:space="preserve">devono essere </w:t>
      </w:r>
      <w:r w:rsidR="00571ADA" w:rsidRPr="00565959">
        <w:rPr>
          <w:rFonts w:ascii="Arial" w:hAnsi="Arial" w:cs="Arial"/>
          <w:sz w:val="22"/>
          <w:szCs w:val="22"/>
        </w:rPr>
        <w:t>facilmente lavabili e disinfettabil</w:t>
      </w:r>
      <w:r w:rsidR="00B363AC" w:rsidRPr="00565959">
        <w:rPr>
          <w:rFonts w:ascii="Arial" w:hAnsi="Arial" w:cs="Arial"/>
          <w:sz w:val="22"/>
          <w:szCs w:val="22"/>
        </w:rPr>
        <w:t>i</w:t>
      </w:r>
      <w:r w:rsidR="00571ADA" w:rsidRPr="00565959">
        <w:rPr>
          <w:rFonts w:ascii="Arial" w:hAnsi="Arial" w:cs="Arial"/>
          <w:sz w:val="22"/>
          <w:szCs w:val="22"/>
        </w:rPr>
        <w:t xml:space="preserve">. </w:t>
      </w:r>
      <w:r w:rsidR="00B363AC" w:rsidRPr="00565959">
        <w:rPr>
          <w:rFonts w:ascii="Arial" w:hAnsi="Arial" w:cs="Arial"/>
          <w:sz w:val="22"/>
          <w:szCs w:val="22"/>
        </w:rPr>
        <w:t>I</w:t>
      </w:r>
      <w:r w:rsidR="00571ADA" w:rsidRPr="00565959">
        <w:rPr>
          <w:rFonts w:ascii="Arial" w:hAnsi="Arial" w:cs="Arial"/>
          <w:sz w:val="22"/>
          <w:szCs w:val="22"/>
        </w:rPr>
        <w:t>l locale destinato alla quarantena deve essere fornito di spazio sufficiente per garantire adeguate condizioni di benessere e confort degli animali e la capienza complessiva della zona non deve essere inferiore al 3% del numero di animali allevati</w:t>
      </w:r>
      <w:r w:rsidR="00DD398B" w:rsidRPr="00565959">
        <w:rPr>
          <w:rFonts w:ascii="Arial" w:hAnsi="Arial" w:cs="Arial"/>
          <w:sz w:val="22"/>
          <w:szCs w:val="22"/>
        </w:rPr>
        <w:t>.</w:t>
      </w:r>
    </w:p>
    <w:p w:rsidR="00571ADA" w:rsidRPr="00565959" w:rsidRDefault="00571ADA" w:rsidP="00571ADA">
      <w:pPr>
        <w:ind w:left="284"/>
        <w:jc w:val="both"/>
      </w:pPr>
    </w:p>
    <w:p w:rsidR="00DD398B" w:rsidRPr="00565959" w:rsidRDefault="00C9595D" w:rsidP="00565959">
      <w:pPr>
        <w:ind w:left="284"/>
        <w:jc w:val="both"/>
      </w:pPr>
      <w:r w:rsidRPr="00565959">
        <w:rPr>
          <w:rFonts w:ascii="Arial" w:hAnsi="Arial" w:cs="Arial"/>
          <w:sz w:val="22"/>
          <w:szCs w:val="22"/>
        </w:rPr>
        <w:t>I</w:t>
      </w:r>
      <w:r w:rsidR="00571ADA" w:rsidRPr="00565959">
        <w:rPr>
          <w:rFonts w:ascii="Arial" w:hAnsi="Arial" w:cs="Arial"/>
          <w:sz w:val="22"/>
          <w:szCs w:val="22"/>
        </w:rPr>
        <w:t xml:space="preserve"> local</w:t>
      </w:r>
      <w:r w:rsidR="00B363AC" w:rsidRPr="00565959">
        <w:rPr>
          <w:rFonts w:ascii="Arial" w:hAnsi="Arial" w:cs="Arial"/>
          <w:sz w:val="22"/>
          <w:szCs w:val="22"/>
        </w:rPr>
        <w:t>i di</w:t>
      </w:r>
      <w:r w:rsidR="00571ADA" w:rsidRPr="00565959">
        <w:rPr>
          <w:rFonts w:ascii="Arial" w:hAnsi="Arial" w:cs="Arial"/>
          <w:sz w:val="22"/>
          <w:szCs w:val="22"/>
        </w:rPr>
        <w:t xml:space="preserve"> infermeria e quarantena</w:t>
      </w:r>
      <w:r w:rsidR="00B363AC" w:rsidRPr="00565959">
        <w:rPr>
          <w:rFonts w:ascii="Arial" w:hAnsi="Arial" w:cs="Arial"/>
          <w:sz w:val="22"/>
          <w:szCs w:val="22"/>
        </w:rPr>
        <w:t xml:space="preserve"> devono </w:t>
      </w:r>
      <w:r w:rsidR="0098468A">
        <w:rPr>
          <w:rFonts w:ascii="Arial" w:hAnsi="Arial" w:cs="Arial"/>
          <w:sz w:val="22"/>
          <w:szCs w:val="22"/>
        </w:rPr>
        <w:t xml:space="preserve">essere </w:t>
      </w:r>
      <w:r w:rsidR="00B363AC" w:rsidRPr="00565959">
        <w:rPr>
          <w:rFonts w:ascii="Arial" w:hAnsi="Arial" w:cs="Arial"/>
          <w:sz w:val="22"/>
          <w:szCs w:val="22"/>
        </w:rPr>
        <w:t>dimensionat</w:t>
      </w:r>
      <w:r w:rsidRPr="00565959">
        <w:rPr>
          <w:rFonts w:ascii="Arial" w:hAnsi="Arial" w:cs="Arial"/>
          <w:sz w:val="22"/>
          <w:szCs w:val="22"/>
        </w:rPr>
        <w:t>i</w:t>
      </w:r>
      <w:r w:rsidR="00B363AC" w:rsidRPr="00565959">
        <w:rPr>
          <w:rFonts w:ascii="Arial" w:hAnsi="Arial" w:cs="Arial"/>
          <w:sz w:val="22"/>
          <w:szCs w:val="22"/>
        </w:rPr>
        <w:t xml:space="preserve"> per ospitare almeno il 3% dei capi allevati. Le superfici devono rispettare i seguenti parametri </w:t>
      </w:r>
      <w:r w:rsidRPr="00565959">
        <w:rPr>
          <w:rFonts w:ascii="Arial" w:hAnsi="Arial" w:cs="Arial"/>
          <w:sz w:val="22"/>
          <w:szCs w:val="22"/>
        </w:rPr>
        <w:t xml:space="preserve">minimi, </w:t>
      </w:r>
      <w:r w:rsidR="00B363AC" w:rsidRPr="00565959">
        <w:rPr>
          <w:rFonts w:ascii="Arial" w:hAnsi="Arial" w:cs="Arial"/>
          <w:sz w:val="22"/>
          <w:szCs w:val="22"/>
        </w:rPr>
        <w:t xml:space="preserve">specifici per </w:t>
      </w:r>
      <w:r w:rsidR="00571ADA" w:rsidRPr="00565959">
        <w:rPr>
          <w:rFonts w:ascii="Arial" w:hAnsi="Arial" w:cs="Arial"/>
          <w:sz w:val="22"/>
          <w:szCs w:val="22"/>
        </w:rPr>
        <w:t>specie animal</w:t>
      </w:r>
      <w:r w:rsidR="00B363AC" w:rsidRPr="00565959">
        <w:rPr>
          <w:rFonts w:ascii="Arial" w:hAnsi="Arial" w:cs="Arial"/>
          <w:sz w:val="22"/>
          <w:szCs w:val="22"/>
        </w:rPr>
        <w:t>e</w:t>
      </w:r>
      <w:r w:rsidR="00571ADA" w:rsidRPr="00565959">
        <w:rPr>
          <w:rFonts w:ascii="Arial" w:hAnsi="Arial" w:cs="Arial"/>
          <w:sz w:val="22"/>
          <w:szCs w:val="22"/>
        </w:rPr>
        <w:t xml:space="preserve"> allevat</w:t>
      </w:r>
      <w:r w:rsidR="00B363AC" w:rsidRPr="00565959">
        <w:rPr>
          <w:rFonts w:ascii="Arial" w:hAnsi="Arial" w:cs="Arial"/>
          <w:sz w:val="22"/>
          <w:szCs w:val="22"/>
        </w:rPr>
        <w:t>a</w:t>
      </w:r>
      <w:r w:rsidR="00571ADA" w:rsidRPr="00565959">
        <w:rPr>
          <w:rFonts w:ascii="Arial" w:hAnsi="Arial" w:cs="Arial"/>
          <w:sz w:val="22"/>
          <w:szCs w:val="22"/>
        </w:rPr>
        <w:t>:</w:t>
      </w:r>
    </w:p>
    <w:p w:rsidR="00571ADA" w:rsidRPr="00565959" w:rsidRDefault="00571ADA" w:rsidP="00571ADA">
      <w:pPr>
        <w:ind w:left="284"/>
        <w:jc w:val="both"/>
      </w:pPr>
    </w:p>
    <w:tbl>
      <w:tblPr>
        <w:tblStyle w:val="Grigliatabella"/>
        <w:tblW w:w="0" w:type="auto"/>
        <w:jc w:val="center"/>
        <w:tblInd w:w="-609" w:type="dxa"/>
        <w:tblLook w:val="04A0"/>
      </w:tblPr>
      <w:tblGrid>
        <w:gridCol w:w="2268"/>
        <w:gridCol w:w="2693"/>
      </w:tblGrid>
      <w:tr w:rsidR="004F10A5" w:rsidRPr="00565959" w:rsidTr="00FC3206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4F10A5" w:rsidRPr="00565959" w:rsidRDefault="004F10A5" w:rsidP="00571A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10A5" w:rsidRPr="00565959" w:rsidRDefault="004F10A5" w:rsidP="00FC3206">
            <w:pPr>
              <w:ind w:left="284"/>
              <w:rPr>
                <w:rFonts w:ascii="Arial" w:hAnsi="Arial" w:cs="Arial"/>
                <w:b/>
              </w:rPr>
            </w:pPr>
            <w:r w:rsidRPr="00565959">
              <w:rPr>
                <w:rFonts w:ascii="Arial" w:hAnsi="Arial" w:cs="Arial"/>
                <w:b/>
              </w:rPr>
              <w:t xml:space="preserve">Superficie (mq/capo) </w:t>
            </w:r>
          </w:p>
        </w:tc>
      </w:tr>
      <w:tr w:rsidR="004F10A5" w:rsidRPr="00565959" w:rsidTr="00FC3206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F10A5" w:rsidRPr="004F10A5" w:rsidRDefault="004F10A5" w:rsidP="00340315">
            <w:pPr>
              <w:rPr>
                <w:rFonts w:ascii="Arial" w:hAnsi="Arial" w:cs="Arial"/>
              </w:rPr>
            </w:pPr>
            <w:r w:rsidRPr="004F10A5">
              <w:rPr>
                <w:rFonts w:ascii="Arial" w:hAnsi="Arial" w:cs="Arial"/>
              </w:rPr>
              <w:t>Bovini ed equidi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10A5" w:rsidRPr="00565959" w:rsidRDefault="004F10A5" w:rsidP="00FC3206">
            <w:pPr>
              <w:ind w:left="284"/>
              <w:jc w:val="center"/>
              <w:rPr>
                <w:rFonts w:ascii="Arial" w:hAnsi="Arial" w:cs="Arial"/>
              </w:rPr>
            </w:pPr>
            <w:r w:rsidRPr="00565959">
              <w:rPr>
                <w:rFonts w:ascii="Arial" w:hAnsi="Arial" w:cs="Arial"/>
              </w:rPr>
              <w:t>4,0</w:t>
            </w:r>
          </w:p>
        </w:tc>
      </w:tr>
      <w:tr w:rsidR="004F10A5" w:rsidRPr="00565959" w:rsidTr="00FC3206">
        <w:trPr>
          <w:jc w:val="center"/>
        </w:trPr>
        <w:tc>
          <w:tcPr>
            <w:tcW w:w="2268" w:type="dxa"/>
          </w:tcPr>
          <w:p w:rsidR="004F10A5" w:rsidRPr="004F10A5" w:rsidRDefault="004F10A5" w:rsidP="00571ADA">
            <w:pPr>
              <w:jc w:val="both"/>
              <w:rPr>
                <w:rFonts w:ascii="Arial" w:hAnsi="Arial" w:cs="Arial"/>
              </w:rPr>
            </w:pPr>
            <w:r w:rsidRPr="004F10A5">
              <w:rPr>
                <w:rFonts w:ascii="Arial" w:hAnsi="Arial" w:cs="Arial"/>
              </w:rPr>
              <w:t>Ovini e caprini</w:t>
            </w:r>
          </w:p>
        </w:tc>
        <w:tc>
          <w:tcPr>
            <w:tcW w:w="2693" w:type="dxa"/>
          </w:tcPr>
          <w:p w:rsidR="004F10A5" w:rsidRPr="00565959" w:rsidRDefault="004F10A5" w:rsidP="00FC3206">
            <w:pPr>
              <w:ind w:left="284"/>
              <w:jc w:val="center"/>
              <w:rPr>
                <w:rFonts w:ascii="Arial" w:hAnsi="Arial" w:cs="Arial"/>
              </w:rPr>
            </w:pPr>
            <w:r w:rsidRPr="00565959">
              <w:rPr>
                <w:rFonts w:ascii="Arial" w:hAnsi="Arial" w:cs="Arial"/>
              </w:rPr>
              <w:t>2,5</w:t>
            </w:r>
          </w:p>
        </w:tc>
      </w:tr>
    </w:tbl>
    <w:p w:rsidR="00340315" w:rsidRPr="00565959" w:rsidRDefault="00340315" w:rsidP="00571ADA">
      <w:pPr>
        <w:ind w:left="284"/>
        <w:jc w:val="both"/>
      </w:pPr>
    </w:p>
    <w:p w:rsidR="009C7BF2" w:rsidRPr="00565959" w:rsidRDefault="009C7BF2" w:rsidP="00565959">
      <w:pPr>
        <w:ind w:left="284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 xml:space="preserve">La realizzazione </w:t>
      </w:r>
      <w:r w:rsidR="00DD398B" w:rsidRPr="00565959">
        <w:rPr>
          <w:rFonts w:ascii="Arial" w:hAnsi="Arial" w:cs="Arial"/>
          <w:sz w:val="22"/>
          <w:szCs w:val="22"/>
        </w:rPr>
        <w:t>delle aree di infermeria o quarantena,</w:t>
      </w:r>
      <w:r w:rsidRPr="00565959">
        <w:rPr>
          <w:rFonts w:ascii="Arial" w:hAnsi="Arial" w:cs="Arial"/>
          <w:sz w:val="22"/>
          <w:szCs w:val="22"/>
        </w:rPr>
        <w:t xml:space="preserve"> dopo l’adesione all’intervento, dovrà essere dimostrata con documentazione tecnica e fotografica da conservare nel fascicolo di domanda.</w:t>
      </w:r>
    </w:p>
    <w:p w:rsidR="00340315" w:rsidRPr="00565959" w:rsidRDefault="00340315" w:rsidP="00571ADA">
      <w:pPr>
        <w:ind w:left="284"/>
        <w:jc w:val="both"/>
        <w:rPr>
          <w:color w:val="0070C0"/>
        </w:rPr>
      </w:pP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51851" w:rsidRPr="00565959" w:rsidRDefault="00DD398B" w:rsidP="00DD39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b/>
          <w:sz w:val="22"/>
          <w:szCs w:val="22"/>
        </w:rPr>
        <w:t>IMPEGNO n. 10</w:t>
      </w:r>
      <w:r w:rsidRPr="00565959">
        <w:rPr>
          <w:rFonts w:ascii="Arial" w:hAnsi="Arial" w:cs="Arial"/>
          <w:sz w:val="22"/>
          <w:szCs w:val="22"/>
        </w:rPr>
        <w:t xml:space="preserve"> - </w:t>
      </w:r>
      <w:r w:rsidR="00451851" w:rsidRPr="00565959">
        <w:rPr>
          <w:rFonts w:ascii="Arial" w:hAnsi="Arial" w:cs="Arial"/>
          <w:sz w:val="22"/>
          <w:szCs w:val="22"/>
        </w:rPr>
        <w:t>Dotazione di generatore elettrico per il funzionamento di tutte le attrezzature ed impianti elettrici (ventilatore, impianto di illuminazione, mungitrice, etc.)</w:t>
      </w:r>
    </w:p>
    <w:p w:rsidR="00451851" w:rsidRPr="00565959" w:rsidRDefault="00451851" w:rsidP="00451851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L’azienda deve dotarsi di un generatore che garantisca il funzionamento degli impianti e attrezzature elettriche nei casi di interruzione di fornitura di energia elettrica.</w:t>
      </w:r>
      <w:r w:rsidR="00C9595D" w:rsidRPr="00565959">
        <w:rPr>
          <w:rFonts w:ascii="Arial" w:hAnsi="Arial" w:cs="Arial"/>
          <w:sz w:val="22"/>
          <w:szCs w:val="22"/>
        </w:rPr>
        <w:t xml:space="preserve"> </w:t>
      </w:r>
    </w:p>
    <w:p w:rsidR="00C9595D" w:rsidRPr="00565959" w:rsidRDefault="00E05727" w:rsidP="00451851">
      <w:pPr>
        <w:ind w:left="709"/>
        <w:jc w:val="both"/>
        <w:rPr>
          <w:rFonts w:ascii="Arial" w:hAnsi="Arial" w:cs="Arial"/>
          <w:sz w:val="22"/>
          <w:szCs w:val="22"/>
        </w:rPr>
      </w:pPr>
      <w:r w:rsidRPr="00565959">
        <w:rPr>
          <w:rFonts w:ascii="Arial" w:hAnsi="Arial" w:cs="Arial"/>
          <w:sz w:val="22"/>
          <w:szCs w:val="22"/>
        </w:rPr>
        <w:t>L’</w:t>
      </w:r>
      <w:r w:rsidR="00C9595D" w:rsidRPr="00565959">
        <w:rPr>
          <w:rFonts w:ascii="Arial" w:hAnsi="Arial" w:cs="Arial"/>
          <w:sz w:val="22"/>
          <w:szCs w:val="22"/>
        </w:rPr>
        <w:t>acquisto del generatore</w:t>
      </w:r>
      <w:r w:rsidRPr="00565959">
        <w:rPr>
          <w:rFonts w:ascii="Arial" w:hAnsi="Arial" w:cs="Arial"/>
          <w:sz w:val="22"/>
          <w:szCs w:val="22"/>
        </w:rPr>
        <w:t>, successivo all’adesione all’intervento,</w:t>
      </w:r>
      <w:r w:rsidR="00C9595D" w:rsidRPr="00565959">
        <w:rPr>
          <w:rFonts w:ascii="Arial" w:hAnsi="Arial" w:cs="Arial"/>
          <w:sz w:val="22"/>
          <w:szCs w:val="22"/>
        </w:rPr>
        <w:t xml:space="preserve"> deve essere</w:t>
      </w:r>
      <w:r w:rsidRPr="00565959">
        <w:rPr>
          <w:rFonts w:ascii="Arial" w:hAnsi="Arial" w:cs="Arial"/>
          <w:sz w:val="22"/>
          <w:szCs w:val="22"/>
        </w:rPr>
        <w:t xml:space="preserve"> comprovato da fattura</w:t>
      </w:r>
      <w:r w:rsidR="00C9595D" w:rsidRPr="00565959">
        <w:rPr>
          <w:rFonts w:ascii="Arial" w:hAnsi="Arial" w:cs="Arial"/>
          <w:sz w:val="22"/>
          <w:szCs w:val="22"/>
        </w:rPr>
        <w:t xml:space="preserve"> </w:t>
      </w:r>
      <w:r w:rsidR="00565959" w:rsidRPr="00565959">
        <w:rPr>
          <w:rFonts w:ascii="Arial" w:hAnsi="Arial" w:cs="Arial"/>
          <w:sz w:val="22"/>
          <w:szCs w:val="22"/>
        </w:rPr>
        <w:t>da conservare</w:t>
      </w:r>
      <w:r w:rsidR="00C9595D" w:rsidRPr="00565959">
        <w:rPr>
          <w:rFonts w:ascii="Arial" w:hAnsi="Arial" w:cs="Arial"/>
          <w:sz w:val="22"/>
          <w:szCs w:val="22"/>
        </w:rPr>
        <w:t xml:space="preserve"> nel fascicolo di domanda.</w:t>
      </w:r>
    </w:p>
    <w:p w:rsidR="00C9595D" w:rsidRPr="00565959" w:rsidRDefault="00C9595D" w:rsidP="00C959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42C0" w:rsidRPr="00565959" w:rsidRDefault="00AC42C0"/>
    <w:sectPr w:rsidR="00AC42C0" w:rsidRPr="00565959" w:rsidSect="00AC4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E8E"/>
    <w:multiLevelType w:val="hybridMultilevel"/>
    <w:tmpl w:val="404C0D46"/>
    <w:lvl w:ilvl="0" w:tplc="3B327BA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A585156"/>
    <w:multiLevelType w:val="hybridMultilevel"/>
    <w:tmpl w:val="04AA6958"/>
    <w:lvl w:ilvl="0" w:tplc="09988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A08C7"/>
    <w:multiLevelType w:val="hybridMultilevel"/>
    <w:tmpl w:val="FF888C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558D8"/>
    <w:multiLevelType w:val="hybridMultilevel"/>
    <w:tmpl w:val="152C9DB0"/>
    <w:lvl w:ilvl="0" w:tplc="270A178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18B37B2"/>
    <w:multiLevelType w:val="hybridMultilevel"/>
    <w:tmpl w:val="A7A62ACC"/>
    <w:lvl w:ilvl="0" w:tplc="04100019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526A56"/>
    <w:multiLevelType w:val="hybridMultilevel"/>
    <w:tmpl w:val="F6387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35CC0"/>
    <w:multiLevelType w:val="hybridMultilevel"/>
    <w:tmpl w:val="07C2ECEA"/>
    <w:lvl w:ilvl="0" w:tplc="0410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E025A"/>
    <w:multiLevelType w:val="hybridMultilevel"/>
    <w:tmpl w:val="A782C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1851"/>
    <w:rsid w:val="0002394C"/>
    <w:rsid w:val="000721A3"/>
    <w:rsid w:val="000B5D0D"/>
    <w:rsid w:val="0011584B"/>
    <w:rsid w:val="0013352B"/>
    <w:rsid w:val="00193887"/>
    <w:rsid w:val="003362E2"/>
    <w:rsid w:val="00340315"/>
    <w:rsid w:val="00350324"/>
    <w:rsid w:val="0035785B"/>
    <w:rsid w:val="00387D79"/>
    <w:rsid w:val="00390F74"/>
    <w:rsid w:val="00430DE7"/>
    <w:rsid w:val="00451851"/>
    <w:rsid w:val="00475615"/>
    <w:rsid w:val="00490308"/>
    <w:rsid w:val="004A03BA"/>
    <w:rsid w:val="004D3448"/>
    <w:rsid w:val="004F10A5"/>
    <w:rsid w:val="00565959"/>
    <w:rsid w:val="00571ADA"/>
    <w:rsid w:val="00581DA0"/>
    <w:rsid w:val="005A4E9D"/>
    <w:rsid w:val="005C72AD"/>
    <w:rsid w:val="005E3AE9"/>
    <w:rsid w:val="005F574B"/>
    <w:rsid w:val="00622697"/>
    <w:rsid w:val="00657DAA"/>
    <w:rsid w:val="006614BC"/>
    <w:rsid w:val="00666B8C"/>
    <w:rsid w:val="007949FB"/>
    <w:rsid w:val="007B30B0"/>
    <w:rsid w:val="007C7AFA"/>
    <w:rsid w:val="00803772"/>
    <w:rsid w:val="00806733"/>
    <w:rsid w:val="008331DB"/>
    <w:rsid w:val="0086148D"/>
    <w:rsid w:val="00865991"/>
    <w:rsid w:val="00865CE0"/>
    <w:rsid w:val="008B298B"/>
    <w:rsid w:val="0098468A"/>
    <w:rsid w:val="009C7BF2"/>
    <w:rsid w:val="009D7287"/>
    <w:rsid w:val="00A22185"/>
    <w:rsid w:val="00A4015F"/>
    <w:rsid w:val="00A71EC4"/>
    <w:rsid w:val="00AB0B2C"/>
    <w:rsid w:val="00AC42C0"/>
    <w:rsid w:val="00AF62EB"/>
    <w:rsid w:val="00B254C5"/>
    <w:rsid w:val="00B363AC"/>
    <w:rsid w:val="00B51589"/>
    <w:rsid w:val="00B77FEC"/>
    <w:rsid w:val="00C24F52"/>
    <w:rsid w:val="00C34E0C"/>
    <w:rsid w:val="00C56A65"/>
    <w:rsid w:val="00C62493"/>
    <w:rsid w:val="00C9595D"/>
    <w:rsid w:val="00D0526F"/>
    <w:rsid w:val="00D068C0"/>
    <w:rsid w:val="00D507B4"/>
    <w:rsid w:val="00DD398B"/>
    <w:rsid w:val="00E018E7"/>
    <w:rsid w:val="00E05727"/>
    <w:rsid w:val="00EE7249"/>
    <w:rsid w:val="00F05873"/>
    <w:rsid w:val="00F31E7D"/>
    <w:rsid w:val="00F34DFA"/>
    <w:rsid w:val="00F767F0"/>
    <w:rsid w:val="00F8770E"/>
    <w:rsid w:val="00FC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1851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3448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1AD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82BAE-6DCF-4DBF-867B-5145B6ED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gleti</dc:creator>
  <cp:lastModifiedBy>gleti</cp:lastModifiedBy>
  <cp:revision>2</cp:revision>
  <dcterms:created xsi:type="dcterms:W3CDTF">2015-07-20T14:01:00Z</dcterms:created>
  <dcterms:modified xsi:type="dcterms:W3CDTF">2015-07-20T14:01:00Z</dcterms:modified>
</cp:coreProperties>
</file>